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14C04" w:rsidRDefault="00714C04" w:rsidP="00714C04">
      <w:pPr>
        <w:spacing w:line="360" w:lineRule="auto"/>
        <w:jc w:val="center"/>
        <w:rPr>
          <w:rFonts w:ascii="Times New Roman" w:hAnsi="Times New Roman" w:cs="Times New Roman"/>
          <w:b/>
          <w:sz w:val="44"/>
          <w:szCs w:val="44"/>
        </w:rPr>
      </w:pPr>
      <w:r w:rsidRPr="00714C04">
        <w:rPr>
          <w:rFonts w:ascii="Times New Roman" w:hAnsi="Times New Roman" w:cs="Times New Roman"/>
          <w:b/>
          <w:sz w:val="44"/>
          <w:szCs w:val="44"/>
        </w:rPr>
        <w:t>Automated Alignment with Respect to a Moving Inductive Wireless Charger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14C04" w:rsidRDefault="00714C04" w:rsidP="00E53AA4">
      <w:pPr>
        <w:spacing w:line="360" w:lineRule="auto"/>
        <w:jc w:val="both"/>
        <w:rPr>
          <w:rFonts w:ascii="Times New Roman" w:hAnsi="Times New Roman" w:cs="Times New Roman"/>
          <w:b/>
          <w:sz w:val="44"/>
          <w:szCs w:val="44"/>
        </w:rPr>
      </w:pPr>
    </w:p>
    <w:p w:rsidR="00714C04" w:rsidRDefault="00714C0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B5125" w:rsidRPr="00DB5125" w:rsidRDefault="00DB5125" w:rsidP="00DB512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B5125">
        <w:rPr>
          <w:rFonts w:ascii="Times New Roman" w:eastAsia="Times New Roman" w:hAnsi="Times New Roman" w:cs="Times New Roman"/>
          <w:color w:val="333333"/>
          <w:sz w:val="32"/>
          <w:szCs w:val="32"/>
          <w:lang w:val="en-IN" w:eastAsia="en-IN" w:bidi="ta-IN"/>
        </w:rPr>
        <w:t>Wireless charging is an attractive technology that often promises increased mobility for electrical devices. However, commonly-available wireless charging systems are generally intolerant to misalignment between the charger and the receiving device due to the need for inductive coupling between the two, defeating the promise of mobility. Many techniques have been studied to address this issue, including improved electrical circuits, novel charger coil designs, and the use of sensors for detecting misalignment. In this paper, a new arrangement of sensing coils is used to detect lateral misalignment between a moving wireless charger and a mobile robot. Data from the sensing coils are used in a dual-loop control of the robot. The inner loop controls the robot velocities and consists of a linear quadratic regulator with integral action. The outer loop provides reference velocities to the inner loop based on the readings of the sensing coils. Using this method, an experimental mobile robot maintains alignment within 2 cm with respect to a 5-W wireless charger that moves up to 0.145 m/s. This automated alignment method is a low-cost solution that enables mobile systems, such as autonomous vehicles, to wirelessly charge while the charger is moving.</w:t>
      </w:r>
    </w:p>
    <w:p w:rsidR="00DB5125" w:rsidRDefault="00DB5125" w:rsidP="00DB5125">
      <w:pPr>
        <w:tabs>
          <w:tab w:val="left" w:pos="6210"/>
        </w:tabs>
        <w:spacing w:line="360" w:lineRule="auto"/>
        <w:jc w:val="both"/>
        <w:rPr>
          <w:rFonts w:ascii="Times New Roman" w:hAnsi="Times New Roman" w:cs="Times New Roman"/>
          <w:b/>
          <w:sz w:val="40"/>
          <w:szCs w:val="40"/>
        </w:rPr>
      </w:pPr>
    </w:p>
    <w:p w:rsidR="00491919" w:rsidRDefault="001C4FD2" w:rsidP="00DB512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201E2" w:rsidRDefault="001D3EB0" w:rsidP="00D701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01E2">
        <w:rPr>
          <w:rFonts w:ascii="Times New Roman" w:hAnsi="Times New Roman" w:cs="Times New Roman"/>
          <w:sz w:val="32"/>
          <w:szCs w:val="32"/>
          <w:lang w:val="en-IN"/>
        </w:rPr>
        <w:t>The magnetic alignment approach uses the existing coil and frequency tracking control electronics of wireless chargers to detect t</w:t>
      </w:r>
      <w:r w:rsidRPr="007201E2">
        <w:rPr>
          <w:rFonts w:ascii="Times New Roman" w:hAnsi="Times New Roman" w:cs="Times New Roman"/>
          <w:sz w:val="32"/>
          <w:szCs w:val="32"/>
          <w:lang w:val="en-IN"/>
        </w:rPr>
        <w:t xml:space="preserve">he distance between the two coils while using 4 small auxiliary coils for direction and fine adjustment, leading to a cost effective detection method for coil alignment in electric vehicle wireless charging (EVWC). </w:t>
      </w:r>
    </w:p>
    <w:p w:rsidR="00000000" w:rsidRPr="007201E2" w:rsidRDefault="001D3EB0" w:rsidP="00D701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01E2">
        <w:rPr>
          <w:rFonts w:ascii="Times New Roman" w:hAnsi="Times New Roman" w:cs="Times New Roman"/>
          <w:sz w:val="32"/>
          <w:szCs w:val="32"/>
          <w:lang w:val="en-IN"/>
        </w:rPr>
        <w:t xml:space="preserve">It uses the existing </w:t>
      </w:r>
      <w:r w:rsidRPr="007201E2">
        <w:rPr>
          <w:rFonts w:ascii="Times New Roman" w:hAnsi="Times New Roman" w:cs="Times New Roman"/>
          <w:sz w:val="32"/>
          <w:szCs w:val="32"/>
          <w:lang w:val="en-IN"/>
        </w:rPr>
        <w:t>coil to generate a weak magnetic field that is detected by magnetic sensors installed on the secondary side.</w:t>
      </w:r>
    </w:p>
    <w:p w:rsidR="00000000" w:rsidRPr="007201E2" w:rsidRDefault="001D3EB0" w:rsidP="00D701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01E2">
        <w:rPr>
          <w:rFonts w:ascii="Times New Roman" w:hAnsi="Times New Roman" w:cs="Times New Roman"/>
          <w:sz w:val="32"/>
          <w:szCs w:val="32"/>
          <w:lang w:val="en-IN"/>
        </w:rPr>
        <w:t>The system utilizes the existing charging facility to generate a magnetic field and sense the relative distance between the two coil centers.</w:t>
      </w:r>
    </w:p>
    <w:p w:rsidR="00000000" w:rsidRPr="007201E2" w:rsidRDefault="001D3EB0" w:rsidP="00D701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201E2">
        <w:rPr>
          <w:rFonts w:ascii="Times New Roman" w:hAnsi="Times New Roman" w:cs="Times New Roman"/>
          <w:sz w:val="32"/>
          <w:szCs w:val="32"/>
          <w:lang w:val="en-IN"/>
        </w:rPr>
        <w:t>A m</w:t>
      </w:r>
      <w:r w:rsidRPr="007201E2">
        <w:rPr>
          <w:rFonts w:ascii="Times New Roman" w:hAnsi="Times New Roman" w:cs="Times New Roman"/>
          <w:sz w:val="32"/>
          <w:szCs w:val="32"/>
          <w:lang w:val="en-IN"/>
        </w:rPr>
        <w:t>agnetic alignment system using existing charging electronics demonstrates that it can be a practical approach to address the misalignment issues in wireless EV charging.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201E2" w:rsidRDefault="001D3EB0" w:rsidP="007201E2">
      <w:pPr>
        <w:numPr>
          <w:ilvl w:val="0"/>
          <w:numId w:val="45"/>
        </w:numPr>
        <w:spacing w:line="360" w:lineRule="auto"/>
        <w:jc w:val="both"/>
        <w:rPr>
          <w:rFonts w:ascii="Times New Roman" w:hAnsi="Times New Roman" w:cs="Times New Roman"/>
          <w:bCs/>
          <w:sz w:val="32"/>
          <w:szCs w:val="32"/>
          <w:lang w:val="en-IN"/>
        </w:rPr>
      </w:pPr>
      <w:r w:rsidRPr="007201E2">
        <w:rPr>
          <w:rFonts w:ascii="Times New Roman" w:hAnsi="Times New Roman" w:cs="Times New Roman"/>
          <w:bCs/>
          <w:sz w:val="32"/>
          <w:szCs w:val="32"/>
          <w:lang w:val="en-IN"/>
        </w:rPr>
        <w:t>We develop a conditional gradient descent method to solve the problem, which performs</w:t>
      </w:r>
      <w:r w:rsidRPr="007201E2">
        <w:rPr>
          <w:rFonts w:ascii="Times New Roman" w:hAnsi="Times New Roman" w:cs="Times New Roman"/>
          <w:bCs/>
          <w:sz w:val="32"/>
          <w:szCs w:val="32"/>
          <w:lang w:val="en-IN"/>
        </w:rPr>
        <w:t xml:space="preserve"> gradient descent (or conditional gradient descent on the boundary of the search space) and projects out-of-boundary points back into the space.</w:t>
      </w:r>
    </w:p>
    <w:p w:rsidR="00000000" w:rsidRPr="007201E2" w:rsidRDefault="001D3EB0" w:rsidP="007201E2">
      <w:pPr>
        <w:numPr>
          <w:ilvl w:val="0"/>
          <w:numId w:val="45"/>
        </w:numPr>
        <w:spacing w:line="360" w:lineRule="auto"/>
        <w:jc w:val="both"/>
        <w:rPr>
          <w:rFonts w:ascii="Times New Roman" w:hAnsi="Times New Roman" w:cs="Times New Roman"/>
          <w:bCs/>
          <w:sz w:val="32"/>
          <w:szCs w:val="32"/>
          <w:lang w:val="en-IN"/>
        </w:rPr>
      </w:pPr>
      <w:r w:rsidRPr="007201E2">
        <w:rPr>
          <w:rFonts w:ascii="Times New Roman" w:hAnsi="Times New Roman" w:cs="Times New Roman"/>
          <w:bCs/>
          <w:sz w:val="32"/>
          <w:szCs w:val="32"/>
          <w:lang w:val="en-IN"/>
        </w:rPr>
        <w:lastRenderedPageBreak/>
        <w:t>The key idea is that we propose to convert the nonconvex misalignment estimation problem to a problem with a c</w:t>
      </w:r>
      <w:r w:rsidRPr="007201E2">
        <w:rPr>
          <w:rFonts w:ascii="Times New Roman" w:hAnsi="Times New Roman" w:cs="Times New Roman"/>
          <w:bCs/>
          <w:sz w:val="32"/>
          <w:szCs w:val="32"/>
          <w:lang w:val="en-IN"/>
        </w:rPr>
        <w:t>onvex objective of estimating the actual distances between the sensors.</w:t>
      </w:r>
    </w:p>
    <w:p w:rsidR="00000000" w:rsidRPr="007201E2" w:rsidRDefault="001D3EB0" w:rsidP="007201E2">
      <w:pPr>
        <w:numPr>
          <w:ilvl w:val="0"/>
          <w:numId w:val="45"/>
        </w:numPr>
        <w:spacing w:line="360" w:lineRule="auto"/>
        <w:jc w:val="both"/>
        <w:rPr>
          <w:rFonts w:ascii="Times New Roman" w:hAnsi="Times New Roman" w:cs="Times New Roman"/>
          <w:bCs/>
          <w:sz w:val="32"/>
          <w:szCs w:val="32"/>
          <w:lang w:val="en-IN"/>
        </w:rPr>
      </w:pPr>
      <w:r w:rsidRPr="007201E2">
        <w:rPr>
          <w:rFonts w:ascii="Times New Roman" w:hAnsi="Times New Roman" w:cs="Times New Roman"/>
          <w:bCs/>
          <w:sz w:val="32"/>
          <w:szCs w:val="32"/>
          <w:lang w:val="en-IN"/>
        </w:rPr>
        <w:t>Another key aspect is to convert the nonconvex misalignment estimation to a more tractable problem with a convex objective.</w:t>
      </w:r>
    </w:p>
    <w:p w:rsidR="00000000" w:rsidRPr="007201E2" w:rsidRDefault="001D3EB0" w:rsidP="007201E2">
      <w:pPr>
        <w:numPr>
          <w:ilvl w:val="0"/>
          <w:numId w:val="45"/>
        </w:numPr>
        <w:spacing w:line="360" w:lineRule="auto"/>
        <w:jc w:val="both"/>
        <w:rPr>
          <w:rFonts w:ascii="Times New Roman" w:hAnsi="Times New Roman" w:cs="Times New Roman"/>
          <w:bCs/>
          <w:sz w:val="32"/>
          <w:szCs w:val="32"/>
          <w:lang w:val="en-IN"/>
        </w:rPr>
      </w:pPr>
      <w:r w:rsidRPr="007201E2">
        <w:rPr>
          <w:rFonts w:ascii="Times New Roman" w:hAnsi="Times New Roman" w:cs="Times New Roman"/>
          <w:bCs/>
          <w:sz w:val="32"/>
          <w:szCs w:val="32"/>
          <w:lang w:val="en-IN"/>
        </w:rPr>
        <w:t>We develop a search algorithm to solve the problem (4), wh</w:t>
      </w:r>
      <w:r w:rsidRPr="007201E2">
        <w:rPr>
          <w:rFonts w:ascii="Times New Roman" w:hAnsi="Times New Roman" w:cs="Times New Roman"/>
          <w:bCs/>
          <w:sz w:val="32"/>
          <w:szCs w:val="32"/>
          <w:lang w:val="en-IN"/>
        </w:rPr>
        <w:t xml:space="preserve">ere we perform gradient descent (or sometimes conditional gradient descent, e.g., on the boundary of S), and then project the out-of-boundary points back into S. </w:t>
      </w:r>
    </w:p>
    <w:p w:rsidR="000B33B0" w:rsidRPr="007201E2" w:rsidRDefault="006A300A" w:rsidP="007201E2">
      <w:pPr>
        <w:spacing w:line="360" w:lineRule="auto"/>
        <w:jc w:val="both"/>
        <w:rPr>
          <w:rFonts w:ascii="Times New Roman" w:eastAsia="Times New Roman" w:hAnsi="Times New Roman" w:cs="Times New Roman"/>
          <w:sz w:val="32"/>
          <w:szCs w:val="32"/>
        </w:rPr>
      </w:pPr>
      <w:r w:rsidRPr="007201E2">
        <w:rPr>
          <w:rFonts w:ascii="Times New Roman" w:hAnsi="Times New Roman" w:cs="Times New Roman"/>
          <w:b/>
          <w:sz w:val="36"/>
          <w:szCs w:val="36"/>
        </w:rPr>
        <w:t xml:space="preserve">2.2. PROPOSED </w:t>
      </w:r>
      <w:r w:rsidR="000B33B0" w:rsidRPr="007201E2">
        <w:rPr>
          <w:rFonts w:ascii="Times New Roman" w:hAnsi="Times New Roman" w:cs="Times New Roman"/>
          <w:b/>
          <w:sz w:val="36"/>
          <w:szCs w:val="36"/>
        </w:rPr>
        <w:t xml:space="preserve">SYSTEM </w:t>
      </w:r>
    </w:p>
    <w:p w:rsidR="007201E2" w:rsidRPr="007201E2" w:rsidRDefault="007201E2" w:rsidP="007201E2">
      <w:pPr>
        <w:pStyle w:val="NormalWeb"/>
        <w:numPr>
          <w:ilvl w:val="0"/>
          <w:numId w:val="46"/>
        </w:numPr>
        <w:spacing w:before="0" w:beforeAutospacing="0" w:after="0" w:afterAutospacing="0" w:line="360" w:lineRule="auto"/>
        <w:ind w:left="284" w:hanging="142"/>
        <w:jc w:val="both"/>
        <w:rPr>
          <w:sz w:val="32"/>
          <w:szCs w:val="32"/>
        </w:rPr>
      </w:pPr>
      <w:r w:rsidRPr="007201E2">
        <w:rPr>
          <w:sz w:val="32"/>
          <w:szCs w:val="32"/>
        </w:rPr>
        <w:t>The switching frequency is assumed as 20 kHz which is the proposed switching frequency of the wireless EV charger.</w:t>
      </w:r>
    </w:p>
    <w:p w:rsidR="007201E2" w:rsidRPr="007201E2" w:rsidRDefault="007201E2" w:rsidP="007201E2">
      <w:pPr>
        <w:pStyle w:val="NormalWeb"/>
        <w:numPr>
          <w:ilvl w:val="0"/>
          <w:numId w:val="46"/>
        </w:numPr>
        <w:spacing w:before="0" w:beforeAutospacing="0" w:after="0" w:afterAutospacing="0" w:line="360" w:lineRule="auto"/>
        <w:ind w:left="284" w:hanging="142"/>
        <w:jc w:val="both"/>
        <w:rPr>
          <w:sz w:val="32"/>
          <w:szCs w:val="32"/>
        </w:rPr>
      </w:pPr>
      <w:r w:rsidRPr="007201E2">
        <w:rPr>
          <w:sz w:val="32"/>
          <w:szCs w:val="32"/>
        </w:rPr>
        <w:t>The charging facility reads the vehicle height and then calibrates and chooses the appropriate built-in data array for matching purposes.</w:t>
      </w:r>
    </w:p>
    <w:p w:rsidR="007201E2" w:rsidRPr="007201E2" w:rsidRDefault="007201E2" w:rsidP="007201E2">
      <w:pPr>
        <w:pStyle w:val="NormalWeb"/>
        <w:numPr>
          <w:ilvl w:val="0"/>
          <w:numId w:val="46"/>
        </w:numPr>
        <w:spacing w:before="0" w:beforeAutospacing="0" w:after="0" w:afterAutospacing="0" w:line="360" w:lineRule="auto"/>
        <w:ind w:left="284" w:hanging="142"/>
        <w:jc w:val="both"/>
        <w:rPr>
          <w:sz w:val="32"/>
          <w:szCs w:val="32"/>
        </w:rPr>
      </w:pPr>
      <w:r w:rsidRPr="007201E2">
        <w:rPr>
          <w:sz w:val="32"/>
          <w:szCs w:val="32"/>
        </w:rPr>
        <w:t xml:space="preserve">The distance between the two coils is transmitted to the user immediately for navigation purposes. </w:t>
      </w:r>
    </w:p>
    <w:p w:rsidR="007201E2" w:rsidRPr="007201E2" w:rsidRDefault="007201E2" w:rsidP="007201E2">
      <w:pPr>
        <w:pStyle w:val="NormalWeb"/>
        <w:numPr>
          <w:ilvl w:val="0"/>
          <w:numId w:val="46"/>
        </w:numPr>
        <w:spacing w:before="0" w:beforeAutospacing="0" w:after="0" w:afterAutospacing="0" w:line="360" w:lineRule="auto"/>
        <w:ind w:left="284" w:hanging="142"/>
        <w:jc w:val="both"/>
        <w:rPr>
          <w:sz w:val="32"/>
          <w:szCs w:val="32"/>
        </w:rPr>
      </w:pPr>
      <w:r w:rsidRPr="007201E2">
        <w:rPr>
          <w:sz w:val="32"/>
          <w:szCs w:val="32"/>
        </w:rPr>
        <w:t>The four auxiliary coils provide direction information and help the driver adjust the vehicle to ensure good alignment.</w:t>
      </w:r>
    </w:p>
    <w:p w:rsidR="00BB3207" w:rsidRDefault="007201E2" w:rsidP="007201E2">
      <w:pPr>
        <w:pStyle w:val="NormalWeb"/>
        <w:numPr>
          <w:ilvl w:val="0"/>
          <w:numId w:val="46"/>
        </w:numPr>
        <w:spacing w:before="0" w:beforeAutospacing="0" w:after="0" w:afterAutospacing="0" w:line="360" w:lineRule="auto"/>
        <w:ind w:left="284" w:hanging="142"/>
        <w:jc w:val="both"/>
        <w:rPr>
          <w:sz w:val="32"/>
          <w:szCs w:val="32"/>
        </w:rPr>
      </w:pPr>
      <w:r w:rsidRPr="007201E2">
        <w:rPr>
          <w:sz w:val="32"/>
          <w:szCs w:val="32"/>
        </w:rPr>
        <w:t>Wireless charging is a competitive option to overcome the inconvenience of plug-in EV charging and the relatively low energy density stored in batteries by opportunity charging.</w:t>
      </w:r>
    </w:p>
    <w:p w:rsidR="00D70128" w:rsidRDefault="00D7012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201E2" w:rsidRDefault="001D3EB0" w:rsidP="00720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1E2">
        <w:rPr>
          <w:rFonts w:ascii="Times New Roman" w:eastAsia="AdvGulliv-R" w:hAnsi="Times New Roman" w:cs="Times New Roman"/>
          <w:bCs/>
          <w:sz w:val="32"/>
          <w:szCs w:val="32"/>
          <w:lang w:val="en-IN"/>
        </w:rPr>
        <w:t>In this paper, we consider a circular topology of</w:t>
      </w:r>
      <w:r w:rsidRPr="007201E2">
        <w:rPr>
          <w:rFonts w:ascii="Times New Roman" w:eastAsia="AdvGulliv-R" w:hAnsi="Times New Roman" w:cs="Times New Roman"/>
          <w:bCs/>
          <w:sz w:val="32"/>
          <w:szCs w:val="32"/>
          <w:lang w:val="en-IN"/>
        </w:rPr>
        <w:t xml:space="preserve"> magnetic core, because it is tolerant to angular misalignment and can also achieve high efficiency.</w:t>
      </w:r>
    </w:p>
    <w:p w:rsidR="00000000" w:rsidRPr="007201E2" w:rsidRDefault="001D3EB0" w:rsidP="00720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1E2">
        <w:rPr>
          <w:rFonts w:ascii="Times New Roman" w:eastAsia="AdvGulliv-R" w:hAnsi="Times New Roman" w:cs="Times New Roman"/>
          <w:bCs/>
          <w:sz w:val="32"/>
          <w:szCs w:val="32"/>
          <w:lang w:val="en-IN"/>
        </w:rPr>
        <w:t>Inductive charging can provide a high power transfer efficiency of over 90% , and will be crucial to autonomous EVs.</w:t>
      </w:r>
    </w:p>
    <w:p w:rsidR="00000000" w:rsidRPr="007201E2" w:rsidRDefault="001D3EB0" w:rsidP="00720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1E2">
        <w:rPr>
          <w:rFonts w:ascii="Times New Roman" w:eastAsia="AdvGulliv-R" w:hAnsi="Times New Roman" w:cs="Times New Roman"/>
          <w:bCs/>
          <w:sz w:val="32"/>
          <w:szCs w:val="32"/>
          <w:lang w:val="en-IN"/>
        </w:rPr>
        <w:t>Caused by an imprecise positioning m</w:t>
      </w:r>
      <w:r w:rsidRPr="007201E2">
        <w:rPr>
          <w:rFonts w:ascii="Times New Roman" w:eastAsia="AdvGulliv-R" w:hAnsi="Times New Roman" w:cs="Times New Roman"/>
          <w:bCs/>
          <w:sz w:val="32"/>
          <w:szCs w:val="32"/>
          <w:lang w:val="en-IN"/>
        </w:rPr>
        <w:t>anoeuvre or uneven ground surfaces, misalignments could significantly degrade the power transfer efficiency.</w:t>
      </w:r>
      <w:r w:rsidRPr="007201E2">
        <w:rPr>
          <w:rFonts w:ascii="Times New Roman" w:eastAsia="AdvGulliv-R" w:hAnsi="Times New Roman" w:cs="Times New Roman"/>
          <w:bCs/>
          <w:sz w:val="32"/>
          <w:szCs w:val="32"/>
        </w:rPr>
        <w:t xml:space="preserve"> </w:t>
      </w:r>
    </w:p>
    <w:p w:rsidR="00000000" w:rsidRPr="007201E2" w:rsidRDefault="001D3EB0" w:rsidP="00720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1E2">
        <w:rPr>
          <w:rFonts w:ascii="Times New Roman" w:eastAsia="AdvGulliv-R" w:hAnsi="Times New Roman" w:cs="Times New Roman"/>
          <w:bCs/>
          <w:sz w:val="32"/>
          <w:szCs w:val="32"/>
          <w:lang w:val="en-IN"/>
        </w:rPr>
        <w:t>The focus of this paper is the coil alignment, which is crucial to the power transfer efficiency.</w:t>
      </w:r>
    </w:p>
    <w:p w:rsidR="00000000" w:rsidRPr="007201E2" w:rsidRDefault="001D3EB0" w:rsidP="00720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1E2">
        <w:rPr>
          <w:rFonts w:ascii="Times New Roman" w:eastAsia="AdvGulliv-R" w:hAnsi="Times New Roman" w:cs="Times New Roman"/>
          <w:bCs/>
          <w:sz w:val="32"/>
          <w:szCs w:val="32"/>
          <w:lang w:val="en-IN"/>
        </w:rPr>
        <w:t>In this sense, the coil alignment is important</w:t>
      </w:r>
      <w:r w:rsidRPr="007201E2">
        <w:rPr>
          <w:rFonts w:ascii="Times New Roman" w:eastAsia="AdvGulliv-R" w:hAnsi="Times New Roman" w:cs="Times New Roman"/>
          <w:bCs/>
          <w:sz w:val="32"/>
          <w:szCs w:val="32"/>
          <w:lang w:val="en-IN"/>
        </w:rPr>
        <w:t xml:space="preserve"> for any charging mode or current/voltage control mechanism, and can help improve the power transfer efficiency of the mode or mechanism.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92E4E" w:rsidRDefault="007201E2" w:rsidP="00E53AA4">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t>Bumpy road to EV 2020</w:t>
            </w:r>
          </w:p>
        </w:tc>
        <w:tc>
          <w:tcPr>
            <w:tcW w:w="3192" w:type="dxa"/>
          </w:tcPr>
          <w:p w:rsidR="000C407B" w:rsidRPr="00F92E4E" w:rsidRDefault="007201E2" w:rsidP="007201E2">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t xml:space="preserve">R. Johnson, </w:t>
            </w:r>
          </w:p>
        </w:tc>
        <w:tc>
          <w:tcPr>
            <w:tcW w:w="3192" w:type="dxa"/>
          </w:tcPr>
          <w:p w:rsidR="000C407B" w:rsidRPr="00F92E4E" w:rsidRDefault="007201E2" w:rsidP="00E53AA4">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t xml:space="preserve">They are entering a critical phase, because the timing and costs of adapting to a large variety of specific market contexts, notably regulations, can be challenging and the end of diesel is arriving faster </w:t>
            </w:r>
            <w:r w:rsidRPr="00F92E4E">
              <w:rPr>
                <w:rFonts w:ascii="Times New Roman" w:hAnsi="Times New Roman" w:cs="Times New Roman"/>
                <w:sz w:val="28"/>
                <w:szCs w:val="28"/>
              </w:rPr>
              <w:lastRenderedPageBreak/>
              <w:t>than expected.</w:t>
            </w:r>
          </w:p>
        </w:tc>
      </w:tr>
      <w:tr w:rsidR="000C407B" w:rsidTr="000C407B">
        <w:trPr>
          <w:trHeight w:val="2942"/>
        </w:trPr>
        <w:tc>
          <w:tcPr>
            <w:tcW w:w="3192" w:type="dxa"/>
          </w:tcPr>
          <w:p w:rsidR="000C407B" w:rsidRPr="00F92E4E" w:rsidRDefault="007201E2" w:rsidP="00E53AA4">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lastRenderedPageBreak/>
              <w:t>Next-generation lithium batteries step forward</w:t>
            </w:r>
          </w:p>
        </w:tc>
        <w:tc>
          <w:tcPr>
            <w:tcW w:w="3192" w:type="dxa"/>
          </w:tcPr>
          <w:p w:rsidR="000C407B" w:rsidRPr="00F92E4E" w:rsidRDefault="007201E2" w:rsidP="007201E2">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t xml:space="preserve">S. Ashley, </w:t>
            </w:r>
          </w:p>
        </w:tc>
        <w:tc>
          <w:tcPr>
            <w:tcW w:w="3192" w:type="dxa"/>
          </w:tcPr>
          <w:p w:rsidR="000C407B" w:rsidRPr="00F92E4E" w:rsidRDefault="00F92E4E" w:rsidP="00E53AA4">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color w:val="333333"/>
                <w:sz w:val="28"/>
                <w:szCs w:val="28"/>
                <w:shd w:val="clear" w:color="auto" w:fill="FFFFFF"/>
              </w:rPr>
              <w:t>Likely developments awaiting the science and technology of next-generation lithium batteries form the focus of this article.</w:t>
            </w:r>
          </w:p>
        </w:tc>
      </w:tr>
      <w:tr w:rsidR="000C407B" w:rsidTr="000C407B">
        <w:tc>
          <w:tcPr>
            <w:tcW w:w="3192" w:type="dxa"/>
          </w:tcPr>
          <w:p w:rsidR="000C407B" w:rsidRPr="00F92E4E" w:rsidRDefault="00F92E4E" w:rsidP="00E53AA4">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t>Standardization roadmap for electric vehicles, version 1.0</w:t>
            </w:r>
          </w:p>
        </w:tc>
        <w:tc>
          <w:tcPr>
            <w:tcW w:w="3192" w:type="dxa"/>
          </w:tcPr>
          <w:p w:rsidR="000C407B" w:rsidRPr="00F92E4E" w:rsidRDefault="00F92E4E" w:rsidP="00F92E4E">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t xml:space="preserve">ANSI, </w:t>
            </w:r>
          </w:p>
        </w:tc>
        <w:tc>
          <w:tcPr>
            <w:tcW w:w="3192" w:type="dxa"/>
          </w:tcPr>
          <w:p w:rsidR="000C407B" w:rsidRPr="00F92E4E" w:rsidRDefault="00F92E4E" w:rsidP="00E53AA4">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color w:val="333333"/>
                <w:sz w:val="28"/>
                <w:szCs w:val="28"/>
                <w:shd w:val="clear" w:color="auto" w:fill="FFFFFF"/>
              </w:rPr>
              <w:t>The American National Standards Institute (ANSI) announced the publication of Standardization Roadmap for Electric Vehicles?Version 2.0, developed by its Electric Vehicles Standards Panel (EVSP).</w:t>
            </w:r>
          </w:p>
        </w:tc>
      </w:tr>
      <w:tr w:rsidR="000C407B" w:rsidTr="000C407B">
        <w:tc>
          <w:tcPr>
            <w:tcW w:w="3192" w:type="dxa"/>
          </w:tcPr>
          <w:p w:rsidR="000C407B" w:rsidRPr="00F92E4E" w:rsidRDefault="00F92E4E" w:rsidP="00E53AA4">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t>A review on inductive charging for electric vehicles</w:t>
            </w:r>
          </w:p>
        </w:tc>
        <w:tc>
          <w:tcPr>
            <w:tcW w:w="3192" w:type="dxa"/>
          </w:tcPr>
          <w:p w:rsidR="000C407B" w:rsidRPr="00F92E4E" w:rsidRDefault="00F92E4E" w:rsidP="00F92E4E">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sz w:val="28"/>
                <w:szCs w:val="28"/>
              </w:rPr>
              <w:t xml:space="preserve">H. Wu, A. Gilchrist, K. Sealy, P. Israelsen, and J. Muhs, </w:t>
            </w:r>
          </w:p>
        </w:tc>
        <w:tc>
          <w:tcPr>
            <w:tcW w:w="3192" w:type="dxa"/>
          </w:tcPr>
          <w:p w:rsidR="000C407B" w:rsidRPr="00F92E4E" w:rsidRDefault="00F92E4E" w:rsidP="00E53AA4">
            <w:pPr>
              <w:tabs>
                <w:tab w:val="left" w:pos="720"/>
              </w:tabs>
              <w:spacing w:after="100" w:line="360" w:lineRule="auto"/>
              <w:jc w:val="both"/>
              <w:rPr>
                <w:rFonts w:ascii="Times New Roman" w:hAnsi="Times New Roman" w:cs="Times New Roman"/>
                <w:sz w:val="28"/>
                <w:szCs w:val="28"/>
              </w:rPr>
            </w:pPr>
            <w:r w:rsidRPr="00F92E4E">
              <w:rPr>
                <w:rFonts w:ascii="Times New Roman" w:hAnsi="Times New Roman" w:cs="Times New Roman"/>
                <w:color w:val="333333"/>
                <w:sz w:val="28"/>
                <w:szCs w:val="28"/>
                <w:shd w:val="clear" w:color="auto" w:fill="FFFFFF"/>
              </w:rPr>
              <w:t>The scarce supply of fossil fuel in the mere future has driven the development of electric vehicles (EV) worldwide.</w:t>
            </w:r>
          </w:p>
        </w:tc>
      </w:tr>
    </w:tbl>
    <w:p w:rsidR="00D70128" w:rsidRDefault="00D7012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25559" w:rsidRDefault="00F25559" w:rsidP="00F25559">
      <w:pPr>
        <w:pStyle w:val="Heading6"/>
        <w:tabs>
          <w:tab w:val="left" w:pos="2160"/>
        </w:tabs>
        <w:spacing w:line="360" w:lineRule="auto"/>
        <w:jc w:val="center"/>
        <w:rPr>
          <w:rFonts w:ascii="Times New Roman" w:hAnsi="Times New Roman" w:cs="Times New Roman"/>
          <w:b/>
          <w:i w:val="0"/>
          <w:color w:val="auto"/>
          <w:sz w:val="40"/>
          <w:szCs w:val="40"/>
        </w:rPr>
      </w:pPr>
    </w:p>
    <w:p w:rsidR="00F25559" w:rsidRDefault="00F25559" w:rsidP="00F25559">
      <w:pPr>
        <w:pStyle w:val="Heading6"/>
        <w:tabs>
          <w:tab w:val="left" w:pos="2160"/>
        </w:tabs>
        <w:spacing w:line="360" w:lineRule="auto"/>
        <w:rPr>
          <w:rFonts w:ascii="Times New Roman" w:hAnsi="Times New Roman" w:cs="Times New Roman"/>
          <w:b/>
          <w:i w:val="0"/>
          <w:color w:val="auto"/>
          <w:sz w:val="40"/>
          <w:szCs w:val="40"/>
        </w:rPr>
      </w:pPr>
    </w:p>
    <w:p w:rsidR="00F25559" w:rsidRDefault="00F25559" w:rsidP="00F25559"/>
    <w:p w:rsidR="00D70128" w:rsidRDefault="00D70128" w:rsidP="00F25559"/>
    <w:p w:rsidR="00D70128" w:rsidRDefault="00D70128" w:rsidP="00F25559"/>
    <w:p w:rsidR="00D70128" w:rsidRDefault="00D70128" w:rsidP="00F25559"/>
    <w:p w:rsidR="00D70128" w:rsidRDefault="00D70128" w:rsidP="00F25559"/>
    <w:p w:rsidR="00D70128" w:rsidRDefault="00D70128" w:rsidP="00F25559"/>
    <w:p w:rsidR="00D70128" w:rsidRPr="00F25559" w:rsidRDefault="00D70128"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70128" w:rsidP="00E53AA4">
      <w:pPr>
        <w:spacing w:after="0" w:line="360" w:lineRule="auto"/>
        <w:jc w:val="both"/>
        <w:rPr>
          <w:rFonts w:ascii="Times New Roman" w:hAnsi="Times New Roman" w:cs="Times New Roman"/>
        </w:rPr>
      </w:pPr>
      <w:r w:rsidRPr="00D70128">
        <w:rPr>
          <w:rFonts w:ascii="Times New Roman" w:hAnsi="Times New Roman" w:cs="Times New Roman"/>
        </w:rPr>
        <w:drawing>
          <wp:inline distT="0" distB="0" distL="0" distR="0">
            <wp:extent cx="5943600" cy="447421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4742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70128" w:rsidRDefault="00D70128" w:rsidP="00E53AA4">
      <w:pPr>
        <w:spacing w:before="100" w:after="100" w:line="360" w:lineRule="auto"/>
        <w:jc w:val="both"/>
        <w:rPr>
          <w:rFonts w:ascii="Times New Roman" w:hAnsi="Times New Roman" w:cs="Times New Roman"/>
          <w:b/>
          <w:noProof/>
          <w:sz w:val="28"/>
          <w:szCs w:val="28"/>
        </w:rPr>
      </w:pPr>
    </w:p>
    <w:p w:rsidR="00D70128" w:rsidRDefault="00D70128"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DB5125" w:rsidRDefault="00DB5125" w:rsidP="00E53AA4">
      <w:pPr>
        <w:tabs>
          <w:tab w:val="left" w:pos="1309"/>
          <w:tab w:val="center" w:pos="4680"/>
        </w:tabs>
        <w:spacing w:line="360" w:lineRule="auto"/>
        <w:jc w:val="both"/>
        <w:rPr>
          <w:rFonts w:ascii="Times New Roman" w:hAnsi="Times New Roman" w:cs="Times New Roman"/>
          <w:b/>
          <w:sz w:val="28"/>
          <w:szCs w:val="28"/>
        </w:rPr>
      </w:pPr>
    </w:p>
    <w:p w:rsidR="00D70128" w:rsidRDefault="00D7012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B449C" w:rsidRPr="001B449C" w:rsidRDefault="001B449C" w:rsidP="001B449C">
      <w:pPr>
        <w:pStyle w:val="BodyText"/>
        <w:rPr>
          <w:bCs/>
          <w:iCs/>
          <w:sz w:val="32"/>
          <w:szCs w:val="32"/>
          <w:lang w:val="en-IN"/>
        </w:rPr>
      </w:pPr>
      <w:r w:rsidRPr="001B449C">
        <w:rPr>
          <w:bCs/>
          <w:iCs/>
          <w:sz w:val="32"/>
          <w:szCs w:val="32"/>
          <w:lang w:val="en-IN"/>
        </w:rPr>
        <w:t xml:space="preserve">   In this paper, we proposed a new EV charger–battery alignment approach, which is able to achieve high alignment accuracy. Our key contributions include converting the originally intractable nonconvex misalignment estimation to a new tractable problem with a convex objective, and developing a new estimation algorithm to recursively solve the problem and mitigate large distance measurement errors. Extensive simulations and proof-of-concept experiments show that our scheme can achieve over 92% efficiency in 90% of the alignment operations. The proposed scheme is also tolerant to correlated distance measurement errors. In contrast, the prior art is susceptible to the error correlation, resulting in a significant efficiency degradation of 18.5%.</w:t>
      </w:r>
      <w:r w:rsidRPr="001B449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1B449C" w:rsidRDefault="001B449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B449C" w:rsidRDefault="001D3EB0" w:rsidP="001B449C">
      <w:pPr>
        <w:pStyle w:val="BodyText"/>
        <w:numPr>
          <w:ilvl w:val="0"/>
          <w:numId w:val="42"/>
        </w:numPr>
        <w:rPr>
          <w:sz w:val="32"/>
          <w:szCs w:val="32"/>
          <w:lang w:val="en-IN"/>
        </w:rPr>
      </w:pPr>
      <w:r w:rsidRPr="001B449C">
        <w:rPr>
          <w:sz w:val="32"/>
          <w:szCs w:val="32"/>
          <w:lang w:val="en-IN"/>
        </w:rPr>
        <w:t xml:space="preserve">[1] R. Johnson, “Bumpy road </w:t>
      </w:r>
      <w:r w:rsidRPr="001B449C">
        <w:rPr>
          <w:sz w:val="32"/>
          <w:szCs w:val="32"/>
          <w:lang w:val="en-IN"/>
        </w:rPr>
        <w:t xml:space="preserve">to EV 2020,” Electron. Eng. Times, vol. 10, no. 1629, pp. 24–29, Oct. 2012. </w:t>
      </w:r>
    </w:p>
    <w:p w:rsidR="00000000" w:rsidRPr="001B449C" w:rsidRDefault="001D3EB0" w:rsidP="001B449C">
      <w:pPr>
        <w:pStyle w:val="BodyText"/>
        <w:numPr>
          <w:ilvl w:val="0"/>
          <w:numId w:val="42"/>
        </w:numPr>
        <w:rPr>
          <w:sz w:val="32"/>
          <w:szCs w:val="32"/>
          <w:lang w:val="en-IN"/>
        </w:rPr>
      </w:pPr>
      <w:r w:rsidRPr="001B449C">
        <w:rPr>
          <w:sz w:val="32"/>
          <w:szCs w:val="32"/>
          <w:lang w:val="en-IN"/>
        </w:rPr>
        <w:t xml:space="preserve">[2] B. Fleming, “Electric vehicle collaboration–Toyota Motor Corporation and Tesla Motors [Automotive Electronics],” IEEE Veh. Technol. Mag., vol. 8, no. 1, pp. 4–9, Mar. 2013. </w:t>
      </w:r>
    </w:p>
    <w:p w:rsidR="00000000" w:rsidRPr="001B449C" w:rsidRDefault="001D3EB0" w:rsidP="001B449C">
      <w:pPr>
        <w:pStyle w:val="BodyText"/>
        <w:numPr>
          <w:ilvl w:val="0"/>
          <w:numId w:val="42"/>
        </w:numPr>
        <w:rPr>
          <w:sz w:val="32"/>
          <w:szCs w:val="32"/>
          <w:lang w:val="en-IN"/>
        </w:rPr>
      </w:pPr>
      <w:r w:rsidRPr="001B449C">
        <w:rPr>
          <w:sz w:val="32"/>
          <w:szCs w:val="32"/>
          <w:lang w:val="en-IN"/>
        </w:rPr>
        <w:t xml:space="preserve">[3] S. Ashley, “Next-generation lithium batteries step forward,” Auto. Eng. Int., vol. 120, no. 6, pp. 34–38, Sep. 2012. </w:t>
      </w:r>
    </w:p>
    <w:p w:rsidR="00000000" w:rsidRPr="001B449C" w:rsidRDefault="001D3EB0" w:rsidP="001B449C">
      <w:pPr>
        <w:pStyle w:val="BodyText"/>
        <w:numPr>
          <w:ilvl w:val="0"/>
          <w:numId w:val="42"/>
        </w:numPr>
        <w:rPr>
          <w:sz w:val="32"/>
          <w:szCs w:val="32"/>
          <w:lang w:val="en-IN"/>
        </w:rPr>
      </w:pPr>
      <w:r w:rsidRPr="001B449C">
        <w:rPr>
          <w:sz w:val="32"/>
          <w:szCs w:val="32"/>
          <w:lang w:val="en-IN"/>
        </w:rPr>
        <w:t>[4] ANSI, “Standardization roadmap for electric vehicles, version 1.0,” EVSP of the American National Standards Institute (ANSI), Te</w:t>
      </w:r>
      <w:r w:rsidRPr="001B449C">
        <w:rPr>
          <w:sz w:val="32"/>
          <w:szCs w:val="32"/>
          <w:lang w:val="en-IN"/>
        </w:rPr>
        <w:t xml:space="preserve">chnical Roadmap, Apr. 2012. </w:t>
      </w:r>
    </w:p>
    <w:p w:rsidR="00000000" w:rsidRPr="001B449C" w:rsidRDefault="001D3EB0" w:rsidP="001B449C">
      <w:pPr>
        <w:pStyle w:val="BodyText"/>
        <w:numPr>
          <w:ilvl w:val="0"/>
          <w:numId w:val="42"/>
        </w:numPr>
        <w:rPr>
          <w:sz w:val="32"/>
          <w:szCs w:val="32"/>
          <w:lang w:val="en-IN"/>
        </w:rPr>
      </w:pPr>
      <w:r w:rsidRPr="001B449C">
        <w:rPr>
          <w:sz w:val="32"/>
          <w:szCs w:val="32"/>
          <w:lang w:val="en-IN"/>
        </w:rPr>
        <w:t>[5] H. Wu, A. Gilchrist, K. Sealy, P. Israelsen, and J. Muhs, “A review on inductive charging for electric vehicles,” in Proc. IEEE Int. Elect. Mach. Drives Conf., 2011, pp. 143–147.</w:t>
      </w:r>
      <w:r w:rsidRPr="001B449C">
        <w:rPr>
          <w:sz w:val="32"/>
          <w:szCs w:val="32"/>
        </w:rPr>
        <w:t xml:space="preserve"> </w:t>
      </w:r>
    </w:p>
    <w:p w:rsidR="00000000" w:rsidRPr="001B449C" w:rsidRDefault="001D3EB0" w:rsidP="001B449C">
      <w:pPr>
        <w:pStyle w:val="BodyText"/>
        <w:numPr>
          <w:ilvl w:val="0"/>
          <w:numId w:val="42"/>
        </w:numPr>
        <w:rPr>
          <w:sz w:val="32"/>
          <w:szCs w:val="32"/>
          <w:lang w:val="en-IN"/>
        </w:rPr>
      </w:pPr>
      <w:r w:rsidRPr="001B449C">
        <w:rPr>
          <w:sz w:val="32"/>
          <w:szCs w:val="32"/>
          <w:lang w:val="en-IN"/>
        </w:rPr>
        <w:t>[6] S. Kummell, “Standard proposal for re</w:t>
      </w:r>
      <w:r w:rsidRPr="001B449C">
        <w:rPr>
          <w:sz w:val="32"/>
          <w:szCs w:val="32"/>
          <w:lang w:val="en-IN"/>
        </w:rPr>
        <w:t xml:space="preserve">sonant inductive charging of electric vehicles, AMAA 2012–Session A: Electrification,” Berlin, Germany, Standard Proposal, May 2012. </w:t>
      </w:r>
    </w:p>
    <w:p w:rsidR="00000000" w:rsidRPr="001B449C" w:rsidRDefault="001D3EB0" w:rsidP="001B449C">
      <w:pPr>
        <w:pStyle w:val="BodyText"/>
        <w:numPr>
          <w:ilvl w:val="0"/>
          <w:numId w:val="42"/>
        </w:numPr>
        <w:rPr>
          <w:sz w:val="32"/>
          <w:szCs w:val="32"/>
          <w:lang w:val="en-IN"/>
        </w:rPr>
      </w:pPr>
      <w:r w:rsidRPr="001B449C">
        <w:rPr>
          <w:sz w:val="32"/>
          <w:szCs w:val="32"/>
          <w:lang w:val="en-IN"/>
        </w:rPr>
        <w:t>[7] K. Fotopoulou and B. W. Flynn, “Wireless power transfer in loosely coupled links: coil misalignment model,” IEEE Tran</w:t>
      </w:r>
      <w:r w:rsidRPr="001B449C">
        <w:rPr>
          <w:sz w:val="32"/>
          <w:szCs w:val="32"/>
          <w:lang w:val="en-IN"/>
        </w:rPr>
        <w:t xml:space="preserve">s. Magn., vol. 47, no. 2, pp. 416–430, Feb. 2011. </w:t>
      </w:r>
    </w:p>
    <w:p w:rsidR="00000000" w:rsidRPr="001B449C" w:rsidRDefault="001D3EB0" w:rsidP="001B449C">
      <w:pPr>
        <w:pStyle w:val="BodyText"/>
        <w:numPr>
          <w:ilvl w:val="0"/>
          <w:numId w:val="42"/>
        </w:numPr>
        <w:rPr>
          <w:sz w:val="32"/>
          <w:szCs w:val="32"/>
          <w:lang w:val="en-IN"/>
        </w:rPr>
      </w:pPr>
      <w:r w:rsidRPr="001B449C">
        <w:rPr>
          <w:sz w:val="32"/>
          <w:szCs w:val="32"/>
          <w:lang w:val="en-IN"/>
        </w:rPr>
        <w:t xml:space="preserve">[8] M. Pickelsimer, L. Tolbert, B. Ozpineci, and J. Miller, “Simulation of a wireless power transfer system for electric </w:t>
      </w:r>
      <w:r w:rsidRPr="001B449C">
        <w:rPr>
          <w:sz w:val="32"/>
          <w:szCs w:val="32"/>
          <w:lang w:val="en-IN"/>
        </w:rPr>
        <w:lastRenderedPageBreak/>
        <w:t xml:space="preserve">vehicles with power factor correction,” in Proc. Int. Elect. Veh. Conf., 2012, pp. </w:t>
      </w:r>
      <w:r w:rsidRPr="001B449C">
        <w:rPr>
          <w:sz w:val="32"/>
          <w:szCs w:val="32"/>
          <w:lang w:val="en-IN"/>
        </w:rPr>
        <w:t xml:space="preserve">1–6. </w:t>
      </w:r>
    </w:p>
    <w:p w:rsidR="00000000" w:rsidRPr="001B449C" w:rsidRDefault="001D3EB0" w:rsidP="001B449C">
      <w:pPr>
        <w:pStyle w:val="BodyText"/>
        <w:numPr>
          <w:ilvl w:val="0"/>
          <w:numId w:val="42"/>
        </w:numPr>
        <w:rPr>
          <w:sz w:val="32"/>
          <w:szCs w:val="32"/>
          <w:lang w:val="en-IN"/>
        </w:rPr>
      </w:pPr>
      <w:r w:rsidRPr="001B449C">
        <w:rPr>
          <w:sz w:val="32"/>
          <w:szCs w:val="32"/>
          <w:lang w:val="en-IN"/>
        </w:rPr>
        <w:t xml:space="preserve">[9] A. Sample, B. Waters, S. Wisdom, and J. Smith, “Enabling seamless wireless power delivery in dynamic environments,” Proc. IEEE, vol. 101, no. 6, pp. 1343–1358, Jun. 2013. </w:t>
      </w:r>
    </w:p>
    <w:p w:rsidR="00000000" w:rsidRPr="001B449C" w:rsidRDefault="001D3EB0" w:rsidP="001B449C">
      <w:pPr>
        <w:pStyle w:val="BodyText"/>
        <w:numPr>
          <w:ilvl w:val="0"/>
          <w:numId w:val="42"/>
        </w:numPr>
        <w:rPr>
          <w:sz w:val="32"/>
          <w:szCs w:val="32"/>
          <w:lang w:val="en-IN"/>
        </w:rPr>
      </w:pPr>
      <w:r w:rsidRPr="001B449C">
        <w:rPr>
          <w:sz w:val="32"/>
          <w:szCs w:val="32"/>
          <w:lang w:val="en-IN"/>
        </w:rPr>
        <w:t>[10] J. Villa, J. Sallan, J. Sanz Osorio, and A. Llombart, “High-misalig</w:t>
      </w:r>
      <w:r w:rsidRPr="001B449C">
        <w:rPr>
          <w:sz w:val="32"/>
          <w:szCs w:val="32"/>
          <w:lang w:val="en-IN"/>
        </w:rPr>
        <w:t xml:space="preserve">nment tolerant compensation topology for ICPT systems,” IEEE Trans. Ind. Electron., vol. 59, no. 2, pp. 945–951, Feb.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3EB0" w:rsidRDefault="001D3EB0" w:rsidP="003654DF">
      <w:pPr>
        <w:spacing w:after="0" w:line="240" w:lineRule="auto"/>
      </w:pPr>
      <w:r>
        <w:separator/>
      </w:r>
    </w:p>
  </w:endnote>
  <w:endnote w:type="continuationSeparator" w:id="1">
    <w:p w:rsidR="001D3EB0" w:rsidRDefault="001D3EB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3EB0" w:rsidRDefault="001D3EB0" w:rsidP="003654DF">
      <w:pPr>
        <w:spacing w:after="0" w:line="240" w:lineRule="auto"/>
      </w:pPr>
      <w:r>
        <w:separator/>
      </w:r>
    </w:p>
  </w:footnote>
  <w:footnote w:type="continuationSeparator" w:id="1">
    <w:p w:rsidR="001D3EB0" w:rsidRDefault="001D3EB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C4E00">
        <w:pPr>
          <w:pStyle w:val="Header"/>
          <w:jc w:val="right"/>
        </w:pPr>
        <w:fldSimple w:instr=" PAGE   \* MERGEFORMAT ">
          <w:r w:rsidR="00D7012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27031"/>
    <w:multiLevelType w:val="hybridMultilevel"/>
    <w:tmpl w:val="9410BDC2"/>
    <w:lvl w:ilvl="0" w:tplc="3FC0279E">
      <w:start w:val="1"/>
      <w:numFmt w:val="bullet"/>
      <w:lvlText w:val=""/>
      <w:lvlJc w:val="left"/>
      <w:pPr>
        <w:tabs>
          <w:tab w:val="num" w:pos="720"/>
        </w:tabs>
        <w:ind w:left="720" w:hanging="360"/>
      </w:pPr>
      <w:rPr>
        <w:rFonts w:ascii="Wingdings 2" w:hAnsi="Wingdings 2" w:hint="default"/>
      </w:rPr>
    </w:lvl>
    <w:lvl w:ilvl="1" w:tplc="5E6CA99A" w:tentative="1">
      <w:start w:val="1"/>
      <w:numFmt w:val="bullet"/>
      <w:lvlText w:val=""/>
      <w:lvlJc w:val="left"/>
      <w:pPr>
        <w:tabs>
          <w:tab w:val="num" w:pos="1440"/>
        </w:tabs>
        <w:ind w:left="1440" w:hanging="360"/>
      </w:pPr>
      <w:rPr>
        <w:rFonts w:ascii="Wingdings 2" w:hAnsi="Wingdings 2" w:hint="default"/>
      </w:rPr>
    </w:lvl>
    <w:lvl w:ilvl="2" w:tplc="055856F6" w:tentative="1">
      <w:start w:val="1"/>
      <w:numFmt w:val="bullet"/>
      <w:lvlText w:val=""/>
      <w:lvlJc w:val="left"/>
      <w:pPr>
        <w:tabs>
          <w:tab w:val="num" w:pos="2160"/>
        </w:tabs>
        <w:ind w:left="2160" w:hanging="360"/>
      </w:pPr>
      <w:rPr>
        <w:rFonts w:ascii="Wingdings 2" w:hAnsi="Wingdings 2" w:hint="default"/>
      </w:rPr>
    </w:lvl>
    <w:lvl w:ilvl="3" w:tplc="72280752" w:tentative="1">
      <w:start w:val="1"/>
      <w:numFmt w:val="bullet"/>
      <w:lvlText w:val=""/>
      <w:lvlJc w:val="left"/>
      <w:pPr>
        <w:tabs>
          <w:tab w:val="num" w:pos="2880"/>
        </w:tabs>
        <w:ind w:left="2880" w:hanging="360"/>
      </w:pPr>
      <w:rPr>
        <w:rFonts w:ascii="Wingdings 2" w:hAnsi="Wingdings 2" w:hint="default"/>
      </w:rPr>
    </w:lvl>
    <w:lvl w:ilvl="4" w:tplc="2A36D84A" w:tentative="1">
      <w:start w:val="1"/>
      <w:numFmt w:val="bullet"/>
      <w:lvlText w:val=""/>
      <w:lvlJc w:val="left"/>
      <w:pPr>
        <w:tabs>
          <w:tab w:val="num" w:pos="3600"/>
        </w:tabs>
        <w:ind w:left="3600" w:hanging="360"/>
      </w:pPr>
      <w:rPr>
        <w:rFonts w:ascii="Wingdings 2" w:hAnsi="Wingdings 2" w:hint="default"/>
      </w:rPr>
    </w:lvl>
    <w:lvl w:ilvl="5" w:tplc="0F06A66E" w:tentative="1">
      <w:start w:val="1"/>
      <w:numFmt w:val="bullet"/>
      <w:lvlText w:val=""/>
      <w:lvlJc w:val="left"/>
      <w:pPr>
        <w:tabs>
          <w:tab w:val="num" w:pos="4320"/>
        </w:tabs>
        <w:ind w:left="4320" w:hanging="360"/>
      </w:pPr>
      <w:rPr>
        <w:rFonts w:ascii="Wingdings 2" w:hAnsi="Wingdings 2" w:hint="default"/>
      </w:rPr>
    </w:lvl>
    <w:lvl w:ilvl="6" w:tplc="53484362" w:tentative="1">
      <w:start w:val="1"/>
      <w:numFmt w:val="bullet"/>
      <w:lvlText w:val=""/>
      <w:lvlJc w:val="left"/>
      <w:pPr>
        <w:tabs>
          <w:tab w:val="num" w:pos="5040"/>
        </w:tabs>
        <w:ind w:left="5040" w:hanging="360"/>
      </w:pPr>
      <w:rPr>
        <w:rFonts w:ascii="Wingdings 2" w:hAnsi="Wingdings 2" w:hint="default"/>
      </w:rPr>
    </w:lvl>
    <w:lvl w:ilvl="7" w:tplc="8D7C3ACE" w:tentative="1">
      <w:start w:val="1"/>
      <w:numFmt w:val="bullet"/>
      <w:lvlText w:val=""/>
      <w:lvlJc w:val="left"/>
      <w:pPr>
        <w:tabs>
          <w:tab w:val="num" w:pos="5760"/>
        </w:tabs>
        <w:ind w:left="5760" w:hanging="360"/>
      </w:pPr>
      <w:rPr>
        <w:rFonts w:ascii="Wingdings 2" w:hAnsi="Wingdings 2" w:hint="default"/>
      </w:rPr>
    </w:lvl>
    <w:lvl w:ilvl="8" w:tplc="5DEC880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EA4D79"/>
    <w:multiLevelType w:val="hybridMultilevel"/>
    <w:tmpl w:val="B7887FAE"/>
    <w:lvl w:ilvl="0" w:tplc="B422F0DE">
      <w:start w:val="1"/>
      <w:numFmt w:val="bullet"/>
      <w:lvlText w:val=""/>
      <w:lvlJc w:val="left"/>
      <w:pPr>
        <w:tabs>
          <w:tab w:val="num" w:pos="720"/>
        </w:tabs>
        <w:ind w:left="720" w:hanging="360"/>
      </w:pPr>
      <w:rPr>
        <w:rFonts w:ascii="Wingdings 2" w:hAnsi="Wingdings 2" w:hint="default"/>
      </w:rPr>
    </w:lvl>
    <w:lvl w:ilvl="1" w:tplc="01BCD6C0" w:tentative="1">
      <w:start w:val="1"/>
      <w:numFmt w:val="bullet"/>
      <w:lvlText w:val=""/>
      <w:lvlJc w:val="left"/>
      <w:pPr>
        <w:tabs>
          <w:tab w:val="num" w:pos="1440"/>
        </w:tabs>
        <w:ind w:left="1440" w:hanging="360"/>
      </w:pPr>
      <w:rPr>
        <w:rFonts w:ascii="Wingdings 2" w:hAnsi="Wingdings 2" w:hint="default"/>
      </w:rPr>
    </w:lvl>
    <w:lvl w:ilvl="2" w:tplc="350C9730" w:tentative="1">
      <w:start w:val="1"/>
      <w:numFmt w:val="bullet"/>
      <w:lvlText w:val=""/>
      <w:lvlJc w:val="left"/>
      <w:pPr>
        <w:tabs>
          <w:tab w:val="num" w:pos="2160"/>
        </w:tabs>
        <w:ind w:left="2160" w:hanging="360"/>
      </w:pPr>
      <w:rPr>
        <w:rFonts w:ascii="Wingdings 2" w:hAnsi="Wingdings 2" w:hint="default"/>
      </w:rPr>
    </w:lvl>
    <w:lvl w:ilvl="3" w:tplc="B02E7690" w:tentative="1">
      <w:start w:val="1"/>
      <w:numFmt w:val="bullet"/>
      <w:lvlText w:val=""/>
      <w:lvlJc w:val="left"/>
      <w:pPr>
        <w:tabs>
          <w:tab w:val="num" w:pos="2880"/>
        </w:tabs>
        <w:ind w:left="2880" w:hanging="360"/>
      </w:pPr>
      <w:rPr>
        <w:rFonts w:ascii="Wingdings 2" w:hAnsi="Wingdings 2" w:hint="default"/>
      </w:rPr>
    </w:lvl>
    <w:lvl w:ilvl="4" w:tplc="F0F46DEC" w:tentative="1">
      <w:start w:val="1"/>
      <w:numFmt w:val="bullet"/>
      <w:lvlText w:val=""/>
      <w:lvlJc w:val="left"/>
      <w:pPr>
        <w:tabs>
          <w:tab w:val="num" w:pos="3600"/>
        </w:tabs>
        <w:ind w:left="3600" w:hanging="360"/>
      </w:pPr>
      <w:rPr>
        <w:rFonts w:ascii="Wingdings 2" w:hAnsi="Wingdings 2" w:hint="default"/>
      </w:rPr>
    </w:lvl>
    <w:lvl w:ilvl="5" w:tplc="8826897A" w:tentative="1">
      <w:start w:val="1"/>
      <w:numFmt w:val="bullet"/>
      <w:lvlText w:val=""/>
      <w:lvlJc w:val="left"/>
      <w:pPr>
        <w:tabs>
          <w:tab w:val="num" w:pos="4320"/>
        </w:tabs>
        <w:ind w:left="4320" w:hanging="360"/>
      </w:pPr>
      <w:rPr>
        <w:rFonts w:ascii="Wingdings 2" w:hAnsi="Wingdings 2" w:hint="default"/>
      </w:rPr>
    </w:lvl>
    <w:lvl w:ilvl="6" w:tplc="7418421A" w:tentative="1">
      <w:start w:val="1"/>
      <w:numFmt w:val="bullet"/>
      <w:lvlText w:val=""/>
      <w:lvlJc w:val="left"/>
      <w:pPr>
        <w:tabs>
          <w:tab w:val="num" w:pos="5040"/>
        </w:tabs>
        <w:ind w:left="5040" w:hanging="360"/>
      </w:pPr>
      <w:rPr>
        <w:rFonts w:ascii="Wingdings 2" w:hAnsi="Wingdings 2" w:hint="default"/>
      </w:rPr>
    </w:lvl>
    <w:lvl w:ilvl="7" w:tplc="32960F14" w:tentative="1">
      <w:start w:val="1"/>
      <w:numFmt w:val="bullet"/>
      <w:lvlText w:val=""/>
      <w:lvlJc w:val="left"/>
      <w:pPr>
        <w:tabs>
          <w:tab w:val="num" w:pos="5760"/>
        </w:tabs>
        <w:ind w:left="5760" w:hanging="360"/>
      </w:pPr>
      <w:rPr>
        <w:rFonts w:ascii="Wingdings 2" w:hAnsi="Wingdings 2" w:hint="default"/>
      </w:rPr>
    </w:lvl>
    <w:lvl w:ilvl="8" w:tplc="B4744760"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6320FCA"/>
    <w:multiLevelType w:val="hybridMultilevel"/>
    <w:tmpl w:val="DA92BF0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162BF3"/>
    <w:multiLevelType w:val="hybridMultilevel"/>
    <w:tmpl w:val="A01CCC8A"/>
    <w:lvl w:ilvl="0" w:tplc="76089AB0">
      <w:start w:val="1"/>
      <w:numFmt w:val="bullet"/>
      <w:lvlText w:val=""/>
      <w:lvlJc w:val="left"/>
      <w:pPr>
        <w:tabs>
          <w:tab w:val="num" w:pos="720"/>
        </w:tabs>
        <w:ind w:left="720" w:hanging="360"/>
      </w:pPr>
      <w:rPr>
        <w:rFonts w:ascii="Wingdings 2" w:hAnsi="Wingdings 2" w:hint="default"/>
      </w:rPr>
    </w:lvl>
    <w:lvl w:ilvl="1" w:tplc="E20688F4" w:tentative="1">
      <w:start w:val="1"/>
      <w:numFmt w:val="bullet"/>
      <w:lvlText w:val=""/>
      <w:lvlJc w:val="left"/>
      <w:pPr>
        <w:tabs>
          <w:tab w:val="num" w:pos="1440"/>
        </w:tabs>
        <w:ind w:left="1440" w:hanging="360"/>
      </w:pPr>
      <w:rPr>
        <w:rFonts w:ascii="Wingdings 2" w:hAnsi="Wingdings 2" w:hint="default"/>
      </w:rPr>
    </w:lvl>
    <w:lvl w:ilvl="2" w:tplc="A0F8C7FA" w:tentative="1">
      <w:start w:val="1"/>
      <w:numFmt w:val="bullet"/>
      <w:lvlText w:val=""/>
      <w:lvlJc w:val="left"/>
      <w:pPr>
        <w:tabs>
          <w:tab w:val="num" w:pos="2160"/>
        </w:tabs>
        <w:ind w:left="2160" w:hanging="360"/>
      </w:pPr>
      <w:rPr>
        <w:rFonts w:ascii="Wingdings 2" w:hAnsi="Wingdings 2" w:hint="default"/>
      </w:rPr>
    </w:lvl>
    <w:lvl w:ilvl="3" w:tplc="7BE80EF0" w:tentative="1">
      <w:start w:val="1"/>
      <w:numFmt w:val="bullet"/>
      <w:lvlText w:val=""/>
      <w:lvlJc w:val="left"/>
      <w:pPr>
        <w:tabs>
          <w:tab w:val="num" w:pos="2880"/>
        </w:tabs>
        <w:ind w:left="2880" w:hanging="360"/>
      </w:pPr>
      <w:rPr>
        <w:rFonts w:ascii="Wingdings 2" w:hAnsi="Wingdings 2" w:hint="default"/>
      </w:rPr>
    </w:lvl>
    <w:lvl w:ilvl="4" w:tplc="72582D5E" w:tentative="1">
      <w:start w:val="1"/>
      <w:numFmt w:val="bullet"/>
      <w:lvlText w:val=""/>
      <w:lvlJc w:val="left"/>
      <w:pPr>
        <w:tabs>
          <w:tab w:val="num" w:pos="3600"/>
        </w:tabs>
        <w:ind w:left="3600" w:hanging="360"/>
      </w:pPr>
      <w:rPr>
        <w:rFonts w:ascii="Wingdings 2" w:hAnsi="Wingdings 2" w:hint="default"/>
      </w:rPr>
    </w:lvl>
    <w:lvl w:ilvl="5" w:tplc="E604A608" w:tentative="1">
      <w:start w:val="1"/>
      <w:numFmt w:val="bullet"/>
      <w:lvlText w:val=""/>
      <w:lvlJc w:val="left"/>
      <w:pPr>
        <w:tabs>
          <w:tab w:val="num" w:pos="4320"/>
        </w:tabs>
        <w:ind w:left="4320" w:hanging="360"/>
      </w:pPr>
      <w:rPr>
        <w:rFonts w:ascii="Wingdings 2" w:hAnsi="Wingdings 2" w:hint="default"/>
      </w:rPr>
    </w:lvl>
    <w:lvl w:ilvl="6" w:tplc="1576C3AE" w:tentative="1">
      <w:start w:val="1"/>
      <w:numFmt w:val="bullet"/>
      <w:lvlText w:val=""/>
      <w:lvlJc w:val="left"/>
      <w:pPr>
        <w:tabs>
          <w:tab w:val="num" w:pos="5040"/>
        </w:tabs>
        <w:ind w:left="5040" w:hanging="360"/>
      </w:pPr>
      <w:rPr>
        <w:rFonts w:ascii="Wingdings 2" w:hAnsi="Wingdings 2" w:hint="default"/>
      </w:rPr>
    </w:lvl>
    <w:lvl w:ilvl="7" w:tplc="8EE08C8C" w:tentative="1">
      <w:start w:val="1"/>
      <w:numFmt w:val="bullet"/>
      <w:lvlText w:val=""/>
      <w:lvlJc w:val="left"/>
      <w:pPr>
        <w:tabs>
          <w:tab w:val="num" w:pos="5760"/>
        </w:tabs>
        <w:ind w:left="5760" w:hanging="360"/>
      </w:pPr>
      <w:rPr>
        <w:rFonts w:ascii="Wingdings 2" w:hAnsi="Wingdings 2" w:hint="default"/>
      </w:rPr>
    </w:lvl>
    <w:lvl w:ilvl="8" w:tplc="816EC84A"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049DE"/>
    <w:multiLevelType w:val="hybridMultilevel"/>
    <w:tmpl w:val="2F0EB8D6"/>
    <w:lvl w:ilvl="0" w:tplc="93E083E6">
      <w:start w:val="1"/>
      <w:numFmt w:val="bullet"/>
      <w:lvlText w:val=""/>
      <w:lvlJc w:val="left"/>
      <w:pPr>
        <w:tabs>
          <w:tab w:val="num" w:pos="720"/>
        </w:tabs>
        <w:ind w:left="720" w:hanging="360"/>
      </w:pPr>
      <w:rPr>
        <w:rFonts w:ascii="Wingdings 2" w:hAnsi="Wingdings 2" w:hint="default"/>
      </w:rPr>
    </w:lvl>
    <w:lvl w:ilvl="1" w:tplc="B4907658" w:tentative="1">
      <w:start w:val="1"/>
      <w:numFmt w:val="bullet"/>
      <w:lvlText w:val=""/>
      <w:lvlJc w:val="left"/>
      <w:pPr>
        <w:tabs>
          <w:tab w:val="num" w:pos="1440"/>
        </w:tabs>
        <w:ind w:left="1440" w:hanging="360"/>
      </w:pPr>
      <w:rPr>
        <w:rFonts w:ascii="Wingdings 2" w:hAnsi="Wingdings 2" w:hint="default"/>
      </w:rPr>
    </w:lvl>
    <w:lvl w:ilvl="2" w:tplc="84588480" w:tentative="1">
      <w:start w:val="1"/>
      <w:numFmt w:val="bullet"/>
      <w:lvlText w:val=""/>
      <w:lvlJc w:val="left"/>
      <w:pPr>
        <w:tabs>
          <w:tab w:val="num" w:pos="2160"/>
        </w:tabs>
        <w:ind w:left="2160" w:hanging="360"/>
      </w:pPr>
      <w:rPr>
        <w:rFonts w:ascii="Wingdings 2" w:hAnsi="Wingdings 2" w:hint="default"/>
      </w:rPr>
    </w:lvl>
    <w:lvl w:ilvl="3" w:tplc="8A1256EE" w:tentative="1">
      <w:start w:val="1"/>
      <w:numFmt w:val="bullet"/>
      <w:lvlText w:val=""/>
      <w:lvlJc w:val="left"/>
      <w:pPr>
        <w:tabs>
          <w:tab w:val="num" w:pos="2880"/>
        </w:tabs>
        <w:ind w:left="2880" w:hanging="360"/>
      </w:pPr>
      <w:rPr>
        <w:rFonts w:ascii="Wingdings 2" w:hAnsi="Wingdings 2" w:hint="default"/>
      </w:rPr>
    </w:lvl>
    <w:lvl w:ilvl="4" w:tplc="3CD0645E" w:tentative="1">
      <w:start w:val="1"/>
      <w:numFmt w:val="bullet"/>
      <w:lvlText w:val=""/>
      <w:lvlJc w:val="left"/>
      <w:pPr>
        <w:tabs>
          <w:tab w:val="num" w:pos="3600"/>
        </w:tabs>
        <w:ind w:left="3600" w:hanging="360"/>
      </w:pPr>
      <w:rPr>
        <w:rFonts w:ascii="Wingdings 2" w:hAnsi="Wingdings 2" w:hint="default"/>
      </w:rPr>
    </w:lvl>
    <w:lvl w:ilvl="5" w:tplc="CC9E51A0" w:tentative="1">
      <w:start w:val="1"/>
      <w:numFmt w:val="bullet"/>
      <w:lvlText w:val=""/>
      <w:lvlJc w:val="left"/>
      <w:pPr>
        <w:tabs>
          <w:tab w:val="num" w:pos="4320"/>
        </w:tabs>
        <w:ind w:left="4320" w:hanging="360"/>
      </w:pPr>
      <w:rPr>
        <w:rFonts w:ascii="Wingdings 2" w:hAnsi="Wingdings 2" w:hint="default"/>
      </w:rPr>
    </w:lvl>
    <w:lvl w:ilvl="6" w:tplc="DD8250F0" w:tentative="1">
      <w:start w:val="1"/>
      <w:numFmt w:val="bullet"/>
      <w:lvlText w:val=""/>
      <w:lvlJc w:val="left"/>
      <w:pPr>
        <w:tabs>
          <w:tab w:val="num" w:pos="5040"/>
        </w:tabs>
        <w:ind w:left="5040" w:hanging="360"/>
      </w:pPr>
      <w:rPr>
        <w:rFonts w:ascii="Wingdings 2" w:hAnsi="Wingdings 2" w:hint="default"/>
      </w:rPr>
    </w:lvl>
    <w:lvl w:ilvl="7" w:tplc="84400EA4" w:tentative="1">
      <w:start w:val="1"/>
      <w:numFmt w:val="bullet"/>
      <w:lvlText w:val=""/>
      <w:lvlJc w:val="left"/>
      <w:pPr>
        <w:tabs>
          <w:tab w:val="num" w:pos="5760"/>
        </w:tabs>
        <w:ind w:left="5760" w:hanging="360"/>
      </w:pPr>
      <w:rPr>
        <w:rFonts w:ascii="Wingdings 2" w:hAnsi="Wingdings 2" w:hint="default"/>
      </w:rPr>
    </w:lvl>
    <w:lvl w:ilvl="8" w:tplc="EBDA9BC4"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F873F8"/>
    <w:multiLevelType w:val="hybridMultilevel"/>
    <w:tmpl w:val="9EF0D82C"/>
    <w:lvl w:ilvl="0" w:tplc="956E0ADA">
      <w:start w:val="1"/>
      <w:numFmt w:val="bullet"/>
      <w:lvlText w:val=""/>
      <w:lvlJc w:val="left"/>
      <w:pPr>
        <w:tabs>
          <w:tab w:val="num" w:pos="720"/>
        </w:tabs>
        <w:ind w:left="720" w:hanging="360"/>
      </w:pPr>
      <w:rPr>
        <w:rFonts w:ascii="Wingdings 2" w:hAnsi="Wingdings 2" w:hint="default"/>
      </w:rPr>
    </w:lvl>
    <w:lvl w:ilvl="1" w:tplc="BEBE23D4" w:tentative="1">
      <w:start w:val="1"/>
      <w:numFmt w:val="bullet"/>
      <w:lvlText w:val=""/>
      <w:lvlJc w:val="left"/>
      <w:pPr>
        <w:tabs>
          <w:tab w:val="num" w:pos="1440"/>
        </w:tabs>
        <w:ind w:left="1440" w:hanging="360"/>
      </w:pPr>
      <w:rPr>
        <w:rFonts w:ascii="Wingdings 2" w:hAnsi="Wingdings 2" w:hint="default"/>
      </w:rPr>
    </w:lvl>
    <w:lvl w:ilvl="2" w:tplc="BD8E86B8" w:tentative="1">
      <w:start w:val="1"/>
      <w:numFmt w:val="bullet"/>
      <w:lvlText w:val=""/>
      <w:lvlJc w:val="left"/>
      <w:pPr>
        <w:tabs>
          <w:tab w:val="num" w:pos="2160"/>
        </w:tabs>
        <w:ind w:left="2160" w:hanging="360"/>
      </w:pPr>
      <w:rPr>
        <w:rFonts w:ascii="Wingdings 2" w:hAnsi="Wingdings 2" w:hint="default"/>
      </w:rPr>
    </w:lvl>
    <w:lvl w:ilvl="3" w:tplc="E7BEF1A6" w:tentative="1">
      <w:start w:val="1"/>
      <w:numFmt w:val="bullet"/>
      <w:lvlText w:val=""/>
      <w:lvlJc w:val="left"/>
      <w:pPr>
        <w:tabs>
          <w:tab w:val="num" w:pos="2880"/>
        </w:tabs>
        <w:ind w:left="2880" w:hanging="360"/>
      </w:pPr>
      <w:rPr>
        <w:rFonts w:ascii="Wingdings 2" w:hAnsi="Wingdings 2" w:hint="default"/>
      </w:rPr>
    </w:lvl>
    <w:lvl w:ilvl="4" w:tplc="0ADC0684" w:tentative="1">
      <w:start w:val="1"/>
      <w:numFmt w:val="bullet"/>
      <w:lvlText w:val=""/>
      <w:lvlJc w:val="left"/>
      <w:pPr>
        <w:tabs>
          <w:tab w:val="num" w:pos="3600"/>
        </w:tabs>
        <w:ind w:left="3600" w:hanging="360"/>
      </w:pPr>
      <w:rPr>
        <w:rFonts w:ascii="Wingdings 2" w:hAnsi="Wingdings 2" w:hint="default"/>
      </w:rPr>
    </w:lvl>
    <w:lvl w:ilvl="5" w:tplc="7954FF88" w:tentative="1">
      <w:start w:val="1"/>
      <w:numFmt w:val="bullet"/>
      <w:lvlText w:val=""/>
      <w:lvlJc w:val="left"/>
      <w:pPr>
        <w:tabs>
          <w:tab w:val="num" w:pos="4320"/>
        </w:tabs>
        <w:ind w:left="4320" w:hanging="360"/>
      </w:pPr>
      <w:rPr>
        <w:rFonts w:ascii="Wingdings 2" w:hAnsi="Wingdings 2" w:hint="default"/>
      </w:rPr>
    </w:lvl>
    <w:lvl w:ilvl="6" w:tplc="C2B2D984" w:tentative="1">
      <w:start w:val="1"/>
      <w:numFmt w:val="bullet"/>
      <w:lvlText w:val=""/>
      <w:lvlJc w:val="left"/>
      <w:pPr>
        <w:tabs>
          <w:tab w:val="num" w:pos="5040"/>
        </w:tabs>
        <w:ind w:left="5040" w:hanging="360"/>
      </w:pPr>
      <w:rPr>
        <w:rFonts w:ascii="Wingdings 2" w:hAnsi="Wingdings 2" w:hint="default"/>
      </w:rPr>
    </w:lvl>
    <w:lvl w:ilvl="7" w:tplc="20442800" w:tentative="1">
      <w:start w:val="1"/>
      <w:numFmt w:val="bullet"/>
      <w:lvlText w:val=""/>
      <w:lvlJc w:val="left"/>
      <w:pPr>
        <w:tabs>
          <w:tab w:val="num" w:pos="5760"/>
        </w:tabs>
        <w:ind w:left="5760" w:hanging="360"/>
      </w:pPr>
      <w:rPr>
        <w:rFonts w:ascii="Wingdings 2" w:hAnsi="Wingdings 2" w:hint="default"/>
      </w:rPr>
    </w:lvl>
    <w:lvl w:ilvl="8" w:tplc="F60CDB3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4"/>
  </w:num>
  <w:num w:numId="28">
    <w:abstractNumId w:val="13"/>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37"/>
  </w:num>
  <w:num w:numId="43">
    <w:abstractNumId w:val="2"/>
  </w:num>
  <w:num w:numId="44">
    <w:abstractNumId w:val="8"/>
  </w:num>
  <w:num w:numId="45">
    <w:abstractNumId w:val="32"/>
  </w:num>
  <w:num w:numId="46">
    <w:abstractNumId w:val="11"/>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449C"/>
    <w:rsid w:val="001B5BA5"/>
    <w:rsid w:val="001B63AC"/>
    <w:rsid w:val="001C4FD2"/>
    <w:rsid w:val="001C6FFA"/>
    <w:rsid w:val="001C7994"/>
    <w:rsid w:val="001D01A3"/>
    <w:rsid w:val="001D0D23"/>
    <w:rsid w:val="001D1A5C"/>
    <w:rsid w:val="001D3E1B"/>
    <w:rsid w:val="001D3EAC"/>
    <w:rsid w:val="001D3EB0"/>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2897"/>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4C04"/>
    <w:rsid w:val="0071773F"/>
    <w:rsid w:val="007201E2"/>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4E00"/>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0128"/>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125"/>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2E4E"/>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9252876">
      <w:bodyDiv w:val="1"/>
      <w:marLeft w:val="0"/>
      <w:marRight w:val="0"/>
      <w:marTop w:val="0"/>
      <w:marBottom w:val="0"/>
      <w:divBdr>
        <w:top w:val="none" w:sz="0" w:space="0" w:color="auto"/>
        <w:left w:val="none" w:sz="0" w:space="0" w:color="auto"/>
        <w:bottom w:val="none" w:sz="0" w:space="0" w:color="auto"/>
        <w:right w:val="none" w:sz="0" w:space="0" w:color="auto"/>
      </w:divBdr>
      <w:divsChild>
        <w:div w:id="749156715">
          <w:marLeft w:val="576"/>
          <w:marRight w:val="0"/>
          <w:marTop w:val="120"/>
          <w:marBottom w:val="0"/>
          <w:divBdr>
            <w:top w:val="none" w:sz="0" w:space="0" w:color="auto"/>
            <w:left w:val="none" w:sz="0" w:space="0" w:color="auto"/>
            <w:bottom w:val="none" w:sz="0" w:space="0" w:color="auto"/>
            <w:right w:val="none" w:sz="0" w:space="0" w:color="auto"/>
          </w:divBdr>
        </w:div>
        <w:div w:id="1600985970">
          <w:marLeft w:val="576"/>
          <w:marRight w:val="0"/>
          <w:marTop w:val="120"/>
          <w:marBottom w:val="0"/>
          <w:divBdr>
            <w:top w:val="none" w:sz="0" w:space="0" w:color="auto"/>
            <w:left w:val="none" w:sz="0" w:space="0" w:color="auto"/>
            <w:bottom w:val="none" w:sz="0" w:space="0" w:color="auto"/>
            <w:right w:val="none" w:sz="0" w:space="0" w:color="auto"/>
          </w:divBdr>
        </w:div>
        <w:div w:id="1762069789">
          <w:marLeft w:val="576"/>
          <w:marRight w:val="0"/>
          <w:marTop w:val="120"/>
          <w:marBottom w:val="0"/>
          <w:divBdr>
            <w:top w:val="none" w:sz="0" w:space="0" w:color="auto"/>
            <w:left w:val="none" w:sz="0" w:space="0" w:color="auto"/>
            <w:bottom w:val="none" w:sz="0" w:space="0" w:color="auto"/>
            <w:right w:val="none" w:sz="0" w:space="0" w:color="auto"/>
          </w:divBdr>
        </w:div>
        <w:div w:id="717241579">
          <w:marLeft w:val="576"/>
          <w:marRight w:val="0"/>
          <w:marTop w:val="120"/>
          <w:marBottom w:val="0"/>
          <w:divBdr>
            <w:top w:val="none" w:sz="0" w:space="0" w:color="auto"/>
            <w:left w:val="none" w:sz="0" w:space="0" w:color="auto"/>
            <w:bottom w:val="none" w:sz="0" w:space="0" w:color="auto"/>
            <w:right w:val="none" w:sz="0" w:space="0" w:color="auto"/>
          </w:divBdr>
        </w:div>
        <w:div w:id="20834303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0950281">
      <w:bodyDiv w:val="1"/>
      <w:marLeft w:val="0"/>
      <w:marRight w:val="0"/>
      <w:marTop w:val="0"/>
      <w:marBottom w:val="0"/>
      <w:divBdr>
        <w:top w:val="none" w:sz="0" w:space="0" w:color="auto"/>
        <w:left w:val="none" w:sz="0" w:space="0" w:color="auto"/>
        <w:bottom w:val="none" w:sz="0" w:space="0" w:color="auto"/>
        <w:right w:val="none" w:sz="0" w:space="0" w:color="auto"/>
      </w:divBdr>
      <w:divsChild>
        <w:div w:id="1208227021">
          <w:marLeft w:val="0"/>
          <w:marRight w:val="0"/>
          <w:marTop w:val="0"/>
          <w:marBottom w:val="0"/>
          <w:divBdr>
            <w:top w:val="none" w:sz="0" w:space="0" w:color="auto"/>
            <w:left w:val="none" w:sz="0" w:space="0" w:color="auto"/>
            <w:bottom w:val="none" w:sz="0" w:space="0" w:color="auto"/>
            <w:right w:val="none" w:sz="0" w:space="0" w:color="auto"/>
          </w:divBdr>
          <w:divsChild>
            <w:div w:id="1126238694">
              <w:marLeft w:val="0"/>
              <w:marRight w:val="0"/>
              <w:marTop w:val="0"/>
              <w:marBottom w:val="0"/>
              <w:divBdr>
                <w:top w:val="none" w:sz="0" w:space="0" w:color="auto"/>
                <w:left w:val="none" w:sz="0" w:space="0" w:color="auto"/>
                <w:bottom w:val="none" w:sz="0" w:space="0" w:color="auto"/>
                <w:right w:val="none" w:sz="0" w:space="0" w:color="auto"/>
              </w:divBdr>
              <w:divsChild>
                <w:div w:id="350448936">
                  <w:marLeft w:val="0"/>
                  <w:marRight w:val="0"/>
                  <w:marTop w:val="0"/>
                  <w:marBottom w:val="0"/>
                  <w:divBdr>
                    <w:top w:val="none" w:sz="0" w:space="0" w:color="auto"/>
                    <w:left w:val="none" w:sz="0" w:space="0" w:color="auto"/>
                    <w:bottom w:val="none" w:sz="0" w:space="0" w:color="auto"/>
                    <w:right w:val="none" w:sz="0" w:space="0" w:color="auto"/>
                  </w:divBdr>
                  <w:divsChild>
                    <w:div w:id="93980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8561873">
      <w:bodyDiv w:val="1"/>
      <w:marLeft w:val="0"/>
      <w:marRight w:val="0"/>
      <w:marTop w:val="0"/>
      <w:marBottom w:val="0"/>
      <w:divBdr>
        <w:top w:val="none" w:sz="0" w:space="0" w:color="auto"/>
        <w:left w:val="none" w:sz="0" w:space="0" w:color="auto"/>
        <w:bottom w:val="none" w:sz="0" w:space="0" w:color="auto"/>
        <w:right w:val="none" w:sz="0" w:space="0" w:color="auto"/>
      </w:divBdr>
      <w:divsChild>
        <w:div w:id="221060770">
          <w:marLeft w:val="576"/>
          <w:marRight w:val="0"/>
          <w:marTop w:val="120"/>
          <w:marBottom w:val="0"/>
          <w:divBdr>
            <w:top w:val="none" w:sz="0" w:space="0" w:color="auto"/>
            <w:left w:val="none" w:sz="0" w:space="0" w:color="auto"/>
            <w:bottom w:val="none" w:sz="0" w:space="0" w:color="auto"/>
            <w:right w:val="none" w:sz="0" w:space="0" w:color="auto"/>
          </w:divBdr>
        </w:div>
        <w:div w:id="966161249">
          <w:marLeft w:val="576"/>
          <w:marRight w:val="0"/>
          <w:marTop w:val="120"/>
          <w:marBottom w:val="0"/>
          <w:divBdr>
            <w:top w:val="none" w:sz="0" w:space="0" w:color="auto"/>
            <w:left w:val="none" w:sz="0" w:space="0" w:color="auto"/>
            <w:bottom w:val="none" w:sz="0" w:space="0" w:color="auto"/>
            <w:right w:val="none" w:sz="0" w:space="0" w:color="auto"/>
          </w:divBdr>
        </w:div>
        <w:div w:id="1991985294">
          <w:marLeft w:val="576"/>
          <w:marRight w:val="0"/>
          <w:marTop w:val="120"/>
          <w:marBottom w:val="0"/>
          <w:divBdr>
            <w:top w:val="none" w:sz="0" w:space="0" w:color="auto"/>
            <w:left w:val="none" w:sz="0" w:space="0" w:color="auto"/>
            <w:bottom w:val="none" w:sz="0" w:space="0" w:color="auto"/>
            <w:right w:val="none" w:sz="0" w:space="0" w:color="auto"/>
          </w:divBdr>
        </w:div>
        <w:div w:id="411971920">
          <w:marLeft w:val="576"/>
          <w:marRight w:val="0"/>
          <w:marTop w:val="120"/>
          <w:marBottom w:val="0"/>
          <w:divBdr>
            <w:top w:val="none" w:sz="0" w:space="0" w:color="auto"/>
            <w:left w:val="none" w:sz="0" w:space="0" w:color="auto"/>
            <w:bottom w:val="none" w:sz="0" w:space="0" w:color="auto"/>
            <w:right w:val="none" w:sz="0" w:space="0" w:color="auto"/>
          </w:divBdr>
        </w:div>
        <w:div w:id="1935286206">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2736228">
      <w:bodyDiv w:val="1"/>
      <w:marLeft w:val="0"/>
      <w:marRight w:val="0"/>
      <w:marTop w:val="0"/>
      <w:marBottom w:val="0"/>
      <w:divBdr>
        <w:top w:val="none" w:sz="0" w:space="0" w:color="auto"/>
        <w:left w:val="none" w:sz="0" w:space="0" w:color="auto"/>
        <w:bottom w:val="none" w:sz="0" w:space="0" w:color="auto"/>
        <w:right w:val="none" w:sz="0" w:space="0" w:color="auto"/>
      </w:divBdr>
      <w:divsChild>
        <w:div w:id="1358579247">
          <w:marLeft w:val="576"/>
          <w:marRight w:val="0"/>
          <w:marTop w:val="120"/>
          <w:marBottom w:val="0"/>
          <w:divBdr>
            <w:top w:val="none" w:sz="0" w:space="0" w:color="auto"/>
            <w:left w:val="none" w:sz="0" w:space="0" w:color="auto"/>
            <w:bottom w:val="none" w:sz="0" w:space="0" w:color="auto"/>
            <w:right w:val="none" w:sz="0" w:space="0" w:color="auto"/>
          </w:divBdr>
        </w:div>
        <w:div w:id="600375705">
          <w:marLeft w:val="576"/>
          <w:marRight w:val="0"/>
          <w:marTop w:val="120"/>
          <w:marBottom w:val="0"/>
          <w:divBdr>
            <w:top w:val="none" w:sz="0" w:space="0" w:color="auto"/>
            <w:left w:val="none" w:sz="0" w:space="0" w:color="auto"/>
            <w:bottom w:val="none" w:sz="0" w:space="0" w:color="auto"/>
            <w:right w:val="none" w:sz="0" w:space="0" w:color="auto"/>
          </w:divBdr>
        </w:div>
        <w:div w:id="1611161590">
          <w:marLeft w:val="576"/>
          <w:marRight w:val="0"/>
          <w:marTop w:val="120"/>
          <w:marBottom w:val="0"/>
          <w:divBdr>
            <w:top w:val="none" w:sz="0" w:space="0" w:color="auto"/>
            <w:left w:val="none" w:sz="0" w:space="0" w:color="auto"/>
            <w:bottom w:val="none" w:sz="0" w:space="0" w:color="auto"/>
            <w:right w:val="none" w:sz="0" w:space="0" w:color="auto"/>
          </w:divBdr>
        </w:div>
        <w:div w:id="36741662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8073088">
      <w:bodyDiv w:val="1"/>
      <w:marLeft w:val="0"/>
      <w:marRight w:val="0"/>
      <w:marTop w:val="0"/>
      <w:marBottom w:val="0"/>
      <w:divBdr>
        <w:top w:val="none" w:sz="0" w:space="0" w:color="auto"/>
        <w:left w:val="none" w:sz="0" w:space="0" w:color="auto"/>
        <w:bottom w:val="none" w:sz="0" w:space="0" w:color="auto"/>
        <w:right w:val="none" w:sz="0" w:space="0" w:color="auto"/>
      </w:divBdr>
      <w:divsChild>
        <w:div w:id="573783408">
          <w:marLeft w:val="576"/>
          <w:marRight w:val="0"/>
          <w:marTop w:val="120"/>
          <w:marBottom w:val="0"/>
          <w:divBdr>
            <w:top w:val="none" w:sz="0" w:space="0" w:color="auto"/>
            <w:left w:val="none" w:sz="0" w:space="0" w:color="auto"/>
            <w:bottom w:val="none" w:sz="0" w:space="0" w:color="auto"/>
            <w:right w:val="none" w:sz="0" w:space="0" w:color="auto"/>
          </w:divBdr>
        </w:div>
        <w:div w:id="2134783722">
          <w:marLeft w:val="576"/>
          <w:marRight w:val="0"/>
          <w:marTop w:val="120"/>
          <w:marBottom w:val="0"/>
          <w:divBdr>
            <w:top w:val="none" w:sz="0" w:space="0" w:color="auto"/>
            <w:left w:val="none" w:sz="0" w:space="0" w:color="auto"/>
            <w:bottom w:val="none" w:sz="0" w:space="0" w:color="auto"/>
            <w:right w:val="none" w:sz="0" w:space="0" w:color="auto"/>
          </w:divBdr>
        </w:div>
        <w:div w:id="979772549">
          <w:marLeft w:val="576"/>
          <w:marRight w:val="0"/>
          <w:marTop w:val="120"/>
          <w:marBottom w:val="0"/>
          <w:divBdr>
            <w:top w:val="none" w:sz="0" w:space="0" w:color="auto"/>
            <w:left w:val="none" w:sz="0" w:space="0" w:color="auto"/>
            <w:bottom w:val="none" w:sz="0" w:space="0" w:color="auto"/>
            <w:right w:val="none" w:sz="0" w:space="0" w:color="auto"/>
          </w:divBdr>
        </w:div>
        <w:div w:id="196622003">
          <w:marLeft w:val="576"/>
          <w:marRight w:val="0"/>
          <w:marTop w:val="120"/>
          <w:marBottom w:val="0"/>
          <w:divBdr>
            <w:top w:val="none" w:sz="0" w:space="0" w:color="auto"/>
            <w:left w:val="none" w:sz="0" w:space="0" w:color="auto"/>
            <w:bottom w:val="none" w:sz="0" w:space="0" w:color="auto"/>
            <w:right w:val="none" w:sz="0" w:space="0" w:color="auto"/>
          </w:divBdr>
        </w:div>
        <w:div w:id="200809081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9029170">
      <w:bodyDiv w:val="1"/>
      <w:marLeft w:val="0"/>
      <w:marRight w:val="0"/>
      <w:marTop w:val="0"/>
      <w:marBottom w:val="0"/>
      <w:divBdr>
        <w:top w:val="none" w:sz="0" w:space="0" w:color="auto"/>
        <w:left w:val="none" w:sz="0" w:space="0" w:color="auto"/>
        <w:bottom w:val="none" w:sz="0" w:space="0" w:color="auto"/>
        <w:right w:val="none" w:sz="0" w:space="0" w:color="auto"/>
      </w:divBdr>
      <w:divsChild>
        <w:div w:id="671614669">
          <w:marLeft w:val="576"/>
          <w:marRight w:val="0"/>
          <w:marTop w:val="120"/>
          <w:marBottom w:val="0"/>
          <w:divBdr>
            <w:top w:val="none" w:sz="0" w:space="0" w:color="auto"/>
            <w:left w:val="none" w:sz="0" w:space="0" w:color="auto"/>
            <w:bottom w:val="none" w:sz="0" w:space="0" w:color="auto"/>
            <w:right w:val="none" w:sz="0" w:space="0" w:color="auto"/>
          </w:divBdr>
        </w:div>
        <w:div w:id="1858957132">
          <w:marLeft w:val="576"/>
          <w:marRight w:val="0"/>
          <w:marTop w:val="120"/>
          <w:marBottom w:val="0"/>
          <w:divBdr>
            <w:top w:val="none" w:sz="0" w:space="0" w:color="auto"/>
            <w:left w:val="none" w:sz="0" w:space="0" w:color="auto"/>
            <w:bottom w:val="none" w:sz="0" w:space="0" w:color="auto"/>
            <w:right w:val="none" w:sz="0" w:space="0" w:color="auto"/>
          </w:divBdr>
        </w:div>
        <w:div w:id="1440103142">
          <w:marLeft w:val="576"/>
          <w:marRight w:val="0"/>
          <w:marTop w:val="120"/>
          <w:marBottom w:val="0"/>
          <w:divBdr>
            <w:top w:val="none" w:sz="0" w:space="0" w:color="auto"/>
            <w:left w:val="none" w:sz="0" w:space="0" w:color="auto"/>
            <w:bottom w:val="none" w:sz="0" w:space="0" w:color="auto"/>
            <w:right w:val="none" w:sz="0" w:space="0" w:color="auto"/>
          </w:divBdr>
        </w:div>
        <w:div w:id="28902100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4511717">
      <w:bodyDiv w:val="1"/>
      <w:marLeft w:val="0"/>
      <w:marRight w:val="0"/>
      <w:marTop w:val="0"/>
      <w:marBottom w:val="0"/>
      <w:divBdr>
        <w:top w:val="none" w:sz="0" w:space="0" w:color="auto"/>
        <w:left w:val="none" w:sz="0" w:space="0" w:color="auto"/>
        <w:bottom w:val="none" w:sz="0" w:space="0" w:color="auto"/>
        <w:right w:val="none" w:sz="0" w:space="0" w:color="auto"/>
      </w:divBdr>
      <w:divsChild>
        <w:div w:id="1945116519">
          <w:marLeft w:val="576"/>
          <w:marRight w:val="0"/>
          <w:marTop w:val="120"/>
          <w:marBottom w:val="0"/>
          <w:divBdr>
            <w:top w:val="none" w:sz="0" w:space="0" w:color="auto"/>
            <w:left w:val="none" w:sz="0" w:space="0" w:color="auto"/>
            <w:bottom w:val="none" w:sz="0" w:space="0" w:color="auto"/>
            <w:right w:val="none" w:sz="0" w:space="0" w:color="auto"/>
          </w:divBdr>
        </w:div>
        <w:div w:id="982659087">
          <w:marLeft w:val="576"/>
          <w:marRight w:val="0"/>
          <w:marTop w:val="120"/>
          <w:marBottom w:val="0"/>
          <w:divBdr>
            <w:top w:val="none" w:sz="0" w:space="0" w:color="auto"/>
            <w:left w:val="none" w:sz="0" w:space="0" w:color="auto"/>
            <w:bottom w:val="none" w:sz="0" w:space="0" w:color="auto"/>
            <w:right w:val="none" w:sz="0" w:space="0" w:color="auto"/>
          </w:divBdr>
        </w:div>
        <w:div w:id="1056778176">
          <w:marLeft w:val="576"/>
          <w:marRight w:val="0"/>
          <w:marTop w:val="120"/>
          <w:marBottom w:val="0"/>
          <w:divBdr>
            <w:top w:val="none" w:sz="0" w:space="0" w:color="auto"/>
            <w:left w:val="none" w:sz="0" w:space="0" w:color="auto"/>
            <w:bottom w:val="none" w:sz="0" w:space="0" w:color="auto"/>
            <w:right w:val="none" w:sz="0" w:space="0" w:color="auto"/>
          </w:divBdr>
        </w:div>
        <w:div w:id="85856130">
          <w:marLeft w:val="576"/>
          <w:marRight w:val="0"/>
          <w:marTop w:val="120"/>
          <w:marBottom w:val="0"/>
          <w:divBdr>
            <w:top w:val="none" w:sz="0" w:space="0" w:color="auto"/>
            <w:left w:val="none" w:sz="0" w:space="0" w:color="auto"/>
            <w:bottom w:val="none" w:sz="0" w:space="0" w:color="auto"/>
            <w:right w:val="none" w:sz="0" w:space="0" w:color="auto"/>
          </w:divBdr>
        </w:div>
        <w:div w:id="8874216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0603275">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15</Pages>
  <Words>1804</Words>
  <Characters>10287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2021-06-18T08:48:00Z</dcterms:modified>
</cp:coreProperties>
</file>