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54E2D" w:rsidRDefault="00C54E2D" w:rsidP="00C54E2D">
      <w:pPr>
        <w:spacing w:line="360" w:lineRule="auto"/>
        <w:jc w:val="center"/>
        <w:rPr>
          <w:rFonts w:ascii="Times New Roman" w:hAnsi="Times New Roman" w:cs="Times New Roman"/>
          <w:b/>
          <w:sz w:val="48"/>
          <w:szCs w:val="48"/>
        </w:rPr>
      </w:pPr>
      <w:r w:rsidRPr="00C54E2D">
        <w:rPr>
          <w:rFonts w:ascii="Times New Roman" w:hAnsi="Times New Roman" w:cs="Times New Roman"/>
          <w:b/>
          <w:sz w:val="48"/>
          <w:szCs w:val="48"/>
        </w:rPr>
        <w:t>Supplementary Power Control of an HVDC System and its Impact on Electromechanical Dynamics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4E2D" w:rsidRDefault="00C54E2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B6920" w:rsidRPr="00DB6920" w:rsidRDefault="00DB6920" w:rsidP="00DB692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B6920">
        <w:rPr>
          <w:rFonts w:ascii="Times New Roman" w:eastAsia="Times New Roman" w:hAnsi="Times New Roman" w:cs="Times New Roman"/>
          <w:color w:val="333333"/>
          <w:sz w:val="32"/>
          <w:szCs w:val="32"/>
          <w:lang w:val="en-IN" w:eastAsia="en-IN" w:bidi="ta-IN"/>
        </w:rPr>
        <w:t>This paper presents a comprehensive analysis of the impact that supplementary power control of an HVDC link has on the electromechanical dynamics of power systems. The presented work addresses an interesting phenomenon that may occur when an HVDC power controller is installed to support frequency stability. In specific cases, a high gain HVDC frequency controller could deteriorate system damping. The given analytical study is the first of its kind that addresses this issue by including both: (i) the important higher-order generator dynamics that affect small signal stability simultaneously with an HVDC control as well as (ii) the available local angle/frequency input signals of the controller. The methodological approach here analytically formulates the impact an HVDC control has on the single generator dynamics. Furthermore, the relationship between the damping/synchronizing coefficients and the HVDC gain is explicitly derived when a frequency proportional HVDC controller is installed. The derived expressions confirm that, indeed, there is an optimal HVDC gain with respect to the damping coefficient and a typically positive impact of the HVDC controller on the synchronizing component. Finally, the developed theoretical foundation is demonstrated by the tools of linear and nonlinear analysis in a one-machine system case study.</w:t>
      </w:r>
    </w:p>
    <w:p w:rsidR="00DB6920" w:rsidRDefault="00DB6920" w:rsidP="00DB6920">
      <w:pPr>
        <w:tabs>
          <w:tab w:val="left" w:pos="6210"/>
        </w:tabs>
        <w:spacing w:line="360" w:lineRule="auto"/>
        <w:jc w:val="both"/>
        <w:rPr>
          <w:rFonts w:ascii="Times New Roman" w:hAnsi="Times New Roman" w:cs="Times New Roman"/>
          <w:b/>
          <w:sz w:val="40"/>
          <w:szCs w:val="40"/>
        </w:rPr>
      </w:pPr>
    </w:p>
    <w:p w:rsidR="00491919" w:rsidRDefault="001C4FD2" w:rsidP="00DB692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7338" w:rsidRDefault="003D40DC" w:rsidP="00C1733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7338">
        <w:rPr>
          <w:rFonts w:ascii="Times New Roman" w:hAnsi="Times New Roman" w:cs="Times New Roman"/>
          <w:sz w:val="32"/>
          <w:szCs w:val="32"/>
          <w:lang w:val="en-IN"/>
        </w:rPr>
        <w:t>Power systems are becoming more</w:t>
      </w:r>
      <w:r w:rsidRPr="00C17338">
        <w:rPr>
          <w:rFonts w:ascii="Times New Roman" w:hAnsi="Times New Roman" w:cs="Times New Roman"/>
          <w:sz w:val="32"/>
          <w:szCs w:val="32"/>
          <w:lang w:val="en-IN"/>
        </w:rPr>
        <w:t xml:space="preserve"> stressed by the presence of low frequency electromechanical oscillations because the number of interconnections with other power systems increases every day. </w:t>
      </w:r>
    </w:p>
    <w:p w:rsidR="00000000" w:rsidRPr="00C17338" w:rsidRDefault="003D40DC" w:rsidP="00C1733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7338">
        <w:rPr>
          <w:rFonts w:ascii="Times New Roman" w:hAnsi="Times New Roman" w:cs="Times New Roman"/>
          <w:sz w:val="32"/>
          <w:szCs w:val="32"/>
          <w:lang w:val="en-IN"/>
        </w:rPr>
        <w:t xml:space="preserve">Furthermore, long distance power trading puts more stress on the existing transmission system. </w:t>
      </w:r>
    </w:p>
    <w:p w:rsidR="00000000" w:rsidRPr="00C17338" w:rsidRDefault="003D40DC" w:rsidP="00C1733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7338">
        <w:rPr>
          <w:rFonts w:ascii="Times New Roman" w:hAnsi="Times New Roman" w:cs="Times New Roman"/>
          <w:sz w:val="32"/>
          <w:szCs w:val="32"/>
          <w:lang w:val="en-IN"/>
        </w:rPr>
        <w:t>As a result, low frequency oscillations involving weakly damped interarea modes become more pronounced risking system security and lowering transmission capacity.</w:t>
      </w:r>
    </w:p>
    <w:p w:rsidR="00000000" w:rsidRPr="00C17338" w:rsidRDefault="003D40DC" w:rsidP="00C1733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7338">
        <w:rPr>
          <w:rFonts w:ascii="Times New Roman" w:hAnsi="Times New Roman" w:cs="Times New Roman"/>
          <w:sz w:val="32"/>
          <w:szCs w:val="32"/>
          <w:lang w:val="en-IN"/>
        </w:rPr>
        <w:t>This solution enables power grid owners to increase the existing transmission network capa</w:t>
      </w:r>
      <w:r w:rsidRPr="00C17338">
        <w:rPr>
          <w:rFonts w:ascii="Times New Roman" w:hAnsi="Times New Roman" w:cs="Times New Roman"/>
          <w:sz w:val="32"/>
          <w:szCs w:val="32"/>
          <w:lang w:val="en-IN"/>
        </w:rPr>
        <w:t>city while improving the operating margins necessary for grid stability.</w:t>
      </w:r>
      <w:r w:rsidRPr="00C1733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7338" w:rsidRDefault="003D40DC" w:rsidP="00C17338">
      <w:pPr>
        <w:numPr>
          <w:ilvl w:val="0"/>
          <w:numId w:val="45"/>
        </w:numPr>
        <w:spacing w:line="360" w:lineRule="auto"/>
        <w:jc w:val="both"/>
        <w:rPr>
          <w:rFonts w:ascii="Times New Roman" w:hAnsi="Times New Roman" w:cs="Times New Roman"/>
          <w:bCs/>
          <w:sz w:val="32"/>
          <w:szCs w:val="32"/>
          <w:lang w:val="en-IN"/>
        </w:rPr>
      </w:pPr>
      <w:r w:rsidRPr="00C17338">
        <w:rPr>
          <w:rFonts w:ascii="Times New Roman" w:hAnsi="Times New Roman" w:cs="Times New Roman"/>
          <w:bCs/>
          <w:sz w:val="32"/>
          <w:szCs w:val="32"/>
          <w:lang w:val="en-IN"/>
        </w:rPr>
        <w:t>The dynamic stability problem is more serious in cases of heavy flow. The most unfavorable flow condition in which VSC-HVDC and generators nearby are in full power operation is used</w:t>
      </w:r>
      <w:r w:rsidRPr="00C17338">
        <w:rPr>
          <w:rFonts w:ascii="Times New Roman" w:hAnsi="Times New Roman" w:cs="Times New Roman"/>
          <w:bCs/>
          <w:sz w:val="32"/>
          <w:szCs w:val="32"/>
          <w:lang w:val="en-IN"/>
        </w:rPr>
        <w:t xml:space="preserve"> to compare the different dynamic responses of AC/DC system under two control modes.</w:t>
      </w:r>
    </w:p>
    <w:p w:rsidR="00000000" w:rsidRPr="00C17338" w:rsidRDefault="003D40DC" w:rsidP="00C17338">
      <w:pPr>
        <w:numPr>
          <w:ilvl w:val="0"/>
          <w:numId w:val="45"/>
        </w:numPr>
        <w:spacing w:line="360" w:lineRule="auto"/>
        <w:jc w:val="both"/>
        <w:rPr>
          <w:rFonts w:ascii="Times New Roman" w:hAnsi="Times New Roman" w:cs="Times New Roman"/>
          <w:bCs/>
          <w:sz w:val="32"/>
          <w:szCs w:val="32"/>
          <w:lang w:val="en-IN"/>
        </w:rPr>
      </w:pPr>
      <w:r w:rsidRPr="00C17338">
        <w:rPr>
          <w:rFonts w:ascii="Times New Roman" w:hAnsi="Times New Roman" w:cs="Times New Roman"/>
          <w:bCs/>
          <w:sz w:val="32"/>
          <w:szCs w:val="32"/>
          <w:lang w:val="en-IN"/>
        </w:rPr>
        <w:t>Reactive power control modes of the converter cannot be determined before we get a comprehensive knowledge about the influence of VSC-HVDC reactive power control modes on</w:t>
      </w:r>
      <w:r w:rsidRPr="00C17338">
        <w:rPr>
          <w:rFonts w:ascii="Times New Roman" w:hAnsi="Times New Roman" w:cs="Times New Roman"/>
          <w:bCs/>
          <w:sz w:val="32"/>
          <w:szCs w:val="32"/>
          <w:lang w:val="en-IN"/>
        </w:rPr>
        <w:t xml:space="preserve"> AC power system stability. </w:t>
      </w:r>
    </w:p>
    <w:p w:rsidR="00000000" w:rsidRPr="00C17338" w:rsidRDefault="003D40DC" w:rsidP="00C17338">
      <w:pPr>
        <w:numPr>
          <w:ilvl w:val="0"/>
          <w:numId w:val="45"/>
        </w:numPr>
        <w:spacing w:line="360" w:lineRule="auto"/>
        <w:jc w:val="both"/>
        <w:rPr>
          <w:rFonts w:ascii="Times New Roman" w:hAnsi="Times New Roman" w:cs="Times New Roman"/>
          <w:bCs/>
          <w:sz w:val="32"/>
          <w:szCs w:val="32"/>
          <w:lang w:val="en-IN"/>
        </w:rPr>
      </w:pPr>
      <w:r w:rsidRPr="00C17338">
        <w:rPr>
          <w:rFonts w:ascii="Times New Roman" w:hAnsi="Times New Roman" w:cs="Times New Roman"/>
          <w:bCs/>
          <w:sz w:val="32"/>
          <w:szCs w:val="32"/>
          <w:lang w:val="en-IN"/>
        </w:rPr>
        <w:lastRenderedPageBreak/>
        <w:t>To solve this problem, two reactive power control strategies commonly used in practice are considered, and two types of stability which are most concerned in safety and stability analysis are investigated in this paper.</w:t>
      </w:r>
      <w:r w:rsidRPr="00C17338">
        <w:rPr>
          <w:rFonts w:ascii="Times New Roman" w:hAnsi="Times New Roman" w:cs="Times New Roman"/>
          <w:bCs/>
          <w:sz w:val="32"/>
          <w:szCs w:val="32"/>
        </w:rPr>
        <w:t xml:space="preserve"> </w:t>
      </w:r>
    </w:p>
    <w:p w:rsidR="000B33B0" w:rsidRPr="00C17338" w:rsidRDefault="006A300A" w:rsidP="00C17338">
      <w:pPr>
        <w:spacing w:line="360" w:lineRule="auto"/>
        <w:jc w:val="both"/>
        <w:rPr>
          <w:rFonts w:ascii="Times New Roman" w:eastAsia="Times New Roman" w:hAnsi="Times New Roman" w:cs="Times New Roman"/>
          <w:sz w:val="32"/>
          <w:szCs w:val="32"/>
        </w:rPr>
      </w:pPr>
      <w:r w:rsidRPr="00C17338">
        <w:rPr>
          <w:rFonts w:ascii="Times New Roman" w:hAnsi="Times New Roman" w:cs="Times New Roman"/>
          <w:b/>
          <w:sz w:val="36"/>
          <w:szCs w:val="36"/>
        </w:rPr>
        <w:t xml:space="preserve">2.2. PROPOSED </w:t>
      </w:r>
      <w:r w:rsidR="000B33B0" w:rsidRPr="00C17338">
        <w:rPr>
          <w:rFonts w:ascii="Times New Roman" w:hAnsi="Times New Roman" w:cs="Times New Roman"/>
          <w:b/>
          <w:sz w:val="36"/>
          <w:szCs w:val="36"/>
        </w:rPr>
        <w:t xml:space="preserve">SYSTEM </w:t>
      </w:r>
    </w:p>
    <w:p w:rsidR="00C17338" w:rsidRPr="00C17338" w:rsidRDefault="00C17338" w:rsidP="00C17338">
      <w:pPr>
        <w:pStyle w:val="NormalWeb"/>
        <w:numPr>
          <w:ilvl w:val="0"/>
          <w:numId w:val="46"/>
        </w:numPr>
        <w:spacing w:before="0" w:beforeAutospacing="0" w:after="0" w:afterAutospacing="0" w:line="360" w:lineRule="auto"/>
        <w:ind w:left="284" w:firstLine="0"/>
        <w:jc w:val="both"/>
        <w:rPr>
          <w:sz w:val="32"/>
          <w:szCs w:val="32"/>
        </w:rPr>
      </w:pPr>
      <w:r w:rsidRPr="00C17338">
        <w:rPr>
          <w:sz w:val="32"/>
          <w:szCs w:val="32"/>
        </w:rPr>
        <w:t xml:space="preserve">The proposed coordination basically considered the wind power production and the gain of the control strategy for active power. </w:t>
      </w:r>
    </w:p>
    <w:p w:rsidR="00C17338" w:rsidRPr="00C17338" w:rsidRDefault="00C17338" w:rsidP="00C17338">
      <w:pPr>
        <w:pStyle w:val="NormalWeb"/>
        <w:numPr>
          <w:ilvl w:val="0"/>
          <w:numId w:val="46"/>
        </w:numPr>
        <w:spacing w:before="0" w:beforeAutospacing="0" w:after="0" w:afterAutospacing="0" w:line="360" w:lineRule="auto"/>
        <w:ind w:left="284" w:firstLine="0"/>
        <w:jc w:val="both"/>
        <w:rPr>
          <w:sz w:val="32"/>
          <w:szCs w:val="32"/>
        </w:rPr>
      </w:pPr>
      <w:r w:rsidRPr="00C17338">
        <w:rPr>
          <w:sz w:val="32"/>
          <w:szCs w:val="32"/>
        </w:rPr>
        <w:t>A larger scale coordination of the controllers can be pursued. Coordination wind power production, POD control of wind power, POD control and voltage control of the VSC-HVDC transmission can be included in a more general approach.</w:t>
      </w:r>
    </w:p>
    <w:p w:rsidR="00C17338" w:rsidRPr="00C17338" w:rsidRDefault="00C17338" w:rsidP="00C17338">
      <w:pPr>
        <w:pStyle w:val="NormalWeb"/>
        <w:numPr>
          <w:ilvl w:val="0"/>
          <w:numId w:val="46"/>
        </w:numPr>
        <w:spacing w:before="0" w:beforeAutospacing="0" w:after="0" w:afterAutospacing="0" w:line="360" w:lineRule="auto"/>
        <w:ind w:left="284" w:firstLine="0"/>
        <w:jc w:val="both"/>
        <w:rPr>
          <w:sz w:val="32"/>
          <w:szCs w:val="32"/>
        </w:rPr>
      </w:pPr>
      <w:r w:rsidRPr="00C17338">
        <w:rPr>
          <w:sz w:val="32"/>
          <w:szCs w:val="32"/>
        </w:rPr>
        <w:t>The SIME method relies on information from all generators in power systems, meanwhile with the approach proposed in this thesis, only some generators are considered.</w:t>
      </w:r>
    </w:p>
    <w:p w:rsidR="00C17338" w:rsidRPr="00C17338" w:rsidRDefault="00C17338" w:rsidP="00C17338">
      <w:pPr>
        <w:pStyle w:val="NormalWeb"/>
        <w:numPr>
          <w:ilvl w:val="0"/>
          <w:numId w:val="46"/>
        </w:numPr>
        <w:spacing w:before="0" w:beforeAutospacing="0" w:after="0" w:afterAutospacing="0" w:line="360" w:lineRule="auto"/>
        <w:ind w:left="284" w:firstLine="0"/>
        <w:jc w:val="both"/>
        <w:rPr>
          <w:sz w:val="32"/>
          <w:szCs w:val="32"/>
        </w:rPr>
      </w:pPr>
      <w:r w:rsidRPr="00C17338">
        <w:rPr>
          <w:sz w:val="32"/>
          <w:szCs w:val="32"/>
        </w:rPr>
        <w:t>A coordination between wind park and a distant VSC-HVDC transmission for POD is suggested.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7338" w:rsidRDefault="003D40DC" w:rsidP="00C17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338">
        <w:rPr>
          <w:rFonts w:ascii="Times New Roman" w:eastAsia="AdvGulliv-R" w:hAnsi="Times New Roman" w:cs="Times New Roman"/>
          <w:bCs/>
          <w:sz w:val="32"/>
          <w:szCs w:val="32"/>
          <w:lang w:val="en-IN"/>
        </w:rPr>
        <w:t>The work in  shows that the AC voltage regulation in the VSC-HVDC link may adversely affect the dynamic performance of the host weak AC system under the multi-infeed VSC-HVDC scenario.</w:t>
      </w:r>
    </w:p>
    <w:p w:rsidR="00000000" w:rsidRPr="00C17338" w:rsidRDefault="003D40DC" w:rsidP="00C17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338">
        <w:rPr>
          <w:rFonts w:ascii="Times New Roman" w:eastAsia="AdvGulliv-R" w:hAnsi="Times New Roman" w:cs="Times New Roman"/>
          <w:bCs/>
          <w:sz w:val="32"/>
          <w:szCs w:val="32"/>
          <w:lang w:val="en-IN"/>
        </w:rPr>
        <w:lastRenderedPageBreak/>
        <w:t>However, the study of  implies that the AC vol</w:t>
      </w:r>
      <w:r w:rsidRPr="00C17338">
        <w:rPr>
          <w:rFonts w:ascii="Times New Roman" w:eastAsia="AdvGulliv-R" w:hAnsi="Times New Roman" w:cs="Times New Roman"/>
          <w:bCs/>
          <w:sz w:val="32"/>
          <w:szCs w:val="32"/>
          <w:lang w:val="en-IN"/>
        </w:rPr>
        <w:t>tage regulation in the VSC-HVDC link may adversely affect the dynamic performance of the AC system.</w:t>
      </w:r>
    </w:p>
    <w:p w:rsidR="00000000" w:rsidRPr="00C17338" w:rsidRDefault="003D40DC" w:rsidP="00C17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338">
        <w:rPr>
          <w:rFonts w:ascii="Times New Roman" w:eastAsia="AdvGulliv-R" w:hAnsi="Times New Roman" w:cs="Times New Roman"/>
          <w:bCs/>
          <w:sz w:val="32"/>
          <w:szCs w:val="32"/>
          <w:lang w:val="en-IN"/>
        </w:rPr>
        <w:t xml:space="preserve">The simulation results of two independent VSC-HVDC converters in a generic system show that AC voltage control in the converter with a lower short-circuit </w:t>
      </w:r>
      <w:r w:rsidRPr="00C17338">
        <w:rPr>
          <w:rFonts w:ascii="Times New Roman" w:eastAsia="AdvGulliv-R" w:hAnsi="Times New Roman" w:cs="Times New Roman"/>
          <w:bCs/>
          <w:sz w:val="32"/>
          <w:szCs w:val="32"/>
          <w:lang w:val="en-IN"/>
        </w:rPr>
        <w:t>ratio aggravated the stability of the least damped mode compared to reactive power control.</w:t>
      </w:r>
      <w:r w:rsidRPr="00C17338">
        <w:rPr>
          <w:rFonts w:ascii="Times New Roman" w:eastAsia="AdvGulliv-R" w:hAnsi="Times New Roman" w:cs="Times New Roman"/>
          <w:bCs/>
          <w:sz w:val="32"/>
          <w:szCs w:val="32"/>
        </w:rPr>
        <w:t xml:space="preserve"> </w:t>
      </w:r>
    </w:p>
    <w:p w:rsidR="00000000" w:rsidRPr="00C17338" w:rsidRDefault="003D40DC" w:rsidP="00C17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338">
        <w:rPr>
          <w:rFonts w:ascii="Times New Roman" w:eastAsia="AdvGulliv-R" w:hAnsi="Times New Roman" w:cs="Times New Roman"/>
          <w:bCs/>
          <w:sz w:val="32"/>
          <w:szCs w:val="32"/>
          <w:lang w:val="en-IN"/>
        </w:rPr>
        <w:t xml:space="preserve">When the medium-scale hydropower station is cut off, VSC-HVDC is the only dynamic reactive power source near the converter station.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C17338" w:rsidTr="000C407B">
        <w:tc>
          <w:tcPr>
            <w:tcW w:w="3192" w:type="dxa"/>
          </w:tcPr>
          <w:p w:rsidR="00C17338" w:rsidRPr="007C30C0" w:rsidRDefault="00C17338"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Challenges on the Road to an Offshore HVDC Grid</w:t>
            </w:r>
          </w:p>
        </w:tc>
        <w:tc>
          <w:tcPr>
            <w:tcW w:w="3192" w:type="dxa"/>
          </w:tcPr>
          <w:p w:rsidR="00C17338" w:rsidRPr="007C30C0" w:rsidRDefault="00C17338" w:rsidP="00C17338">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 xml:space="preserve"> E. Koldby, M. Hyttinen, </w:t>
            </w:r>
          </w:p>
        </w:tc>
        <w:tc>
          <w:tcPr>
            <w:tcW w:w="3192" w:type="dxa"/>
          </w:tcPr>
          <w:p w:rsidR="00C17338" w:rsidRPr="007C30C0" w:rsidRDefault="00C17338"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color w:val="333333"/>
                <w:sz w:val="28"/>
                <w:szCs w:val="28"/>
                <w:shd w:val="clear" w:color="auto" w:fill="FFFFFF"/>
              </w:rPr>
              <w:t>There is already offshore experience with VSC HVDC and the experiences from those projects are good.</w:t>
            </w:r>
          </w:p>
        </w:tc>
      </w:tr>
      <w:tr w:rsidR="00C17338" w:rsidTr="000C407B">
        <w:tc>
          <w:tcPr>
            <w:tcW w:w="3192" w:type="dxa"/>
          </w:tcPr>
          <w:p w:rsidR="00C17338" w:rsidRPr="007C30C0" w:rsidRDefault="00C17338"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Continental Overlay HVDC-Grid</w:t>
            </w:r>
          </w:p>
        </w:tc>
        <w:tc>
          <w:tcPr>
            <w:tcW w:w="3192" w:type="dxa"/>
          </w:tcPr>
          <w:p w:rsidR="00C17338" w:rsidRPr="007C30C0" w:rsidRDefault="00C17338" w:rsidP="00C17338">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 xml:space="preserve">G. Asplund, B. Jacobson, B. Berggren, K. Lindén, </w:t>
            </w:r>
          </w:p>
        </w:tc>
        <w:tc>
          <w:tcPr>
            <w:tcW w:w="3192" w:type="dxa"/>
          </w:tcPr>
          <w:p w:rsidR="00C17338" w:rsidRPr="007C30C0" w:rsidRDefault="00C17338"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This paper focuses on analyzing the readiness of the current technologies and the challenges associated with overlay HVDC grids</w:t>
            </w:r>
          </w:p>
        </w:tc>
      </w:tr>
      <w:tr w:rsidR="00C17338" w:rsidTr="000C407B">
        <w:tc>
          <w:tcPr>
            <w:tcW w:w="3192" w:type="dxa"/>
          </w:tcPr>
          <w:p w:rsidR="00C17338" w:rsidRPr="007C30C0" w:rsidRDefault="00C17338"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 xml:space="preserve">The role of facts and HVDC in the future </w:t>
            </w:r>
            <w:r w:rsidRPr="007C30C0">
              <w:rPr>
                <w:rFonts w:ascii="Times New Roman" w:hAnsi="Times New Roman" w:cs="Times New Roman"/>
                <w:bCs/>
                <w:sz w:val="28"/>
                <w:szCs w:val="28"/>
              </w:rPr>
              <w:lastRenderedPageBreak/>
              <w:t>paneuropean transmission system development</w:t>
            </w:r>
          </w:p>
        </w:tc>
        <w:tc>
          <w:tcPr>
            <w:tcW w:w="3192" w:type="dxa"/>
          </w:tcPr>
          <w:p w:rsidR="00C17338" w:rsidRPr="007C30C0" w:rsidRDefault="00C17338" w:rsidP="00C17338">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lastRenderedPageBreak/>
              <w:t xml:space="preserve">A. L’Abbate, G. Migliavacca, U. Häger, C. </w:t>
            </w:r>
            <w:r w:rsidRPr="007C30C0">
              <w:rPr>
                <w:rFonts w:ascii="Times New Roman" w:hAnsi="Times New Roman" w:cs="Times New Roman"/>
                <w:bCs/>
                <w:sz w:val="28"/>
                <w:szCs w:val="28"/>
              </w:rPr>
              <w:lastRenderedPageBreak/>
              <w:t xml:space="preserve">Rehtanz, S. Rüberg, H. Ferreira, G. Fulli, A.Purvins, </w:t>
            </w:r>
          </w:p>
        </w:tc>
        <w:tc>
          <w:tcPr>
            <w:tcW w:w="3192" w:type="dxa"/>
          </w:tcPr>
          <w:p w:rsidR="00C17338" w:rsidRPr="007C30C0" w:rsidRDefault="00C17338"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color w:val="333333"/>
                <w:sz w:val="28"/>
                <w:szCs w:val="28"/>
                <w:shd w:val="clear" w:color="auto" w:fill="FFFFFF"/>
              </w:rPr>
              <w:lastRenderedPageBreak/>
              <w:t xml:space="preserve">The present paper focuses on FACTS (Flexible </w:t>
            </w:r>
            <w:r w:rsidRPr="007C30C0">
              <w:rPr>
                <w:rFonts w:ascii="Times New Roman" w:hAnsi="Times New Roman" w:cs="Times New Roman"/>
                <w:bCs/>
                <w:color w:val="333333"/>
                <w:sz w:val="28"/>
                <w:szCs w:val="28"/>
                <w:shd w:val="clear" w:color="auto" w:fill="FFFFFF"/>
              </w:rPr>
              <w:lastRenderedPageBreak/>
              <w:t>Alternating Current Transmission System) and HVDC (High Voltage Direct Current) transmission technologies.</w:t>
            </w:r>
          </w:p>
        </w:tc>
      </w:tr>
      <w:tr w:rsidR="00C17338" w:rsidTr="000C407B">
        <w:tc>
          <w:tcPr>
            <w:tcW w:w="3192" w:type="dxa"/>
          </w:tcPr>
          <w:p w:rsidR="00C17338" w:rsidRPr="007C30C0" w:rsidRDefault="007C30C0"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lastRenderedPageBreak/>
              <w:t>Operation of HVDC Grids in Parallel withAC Grids</w:t>
            </w:r>
          </w:p>
        </w:tc>
        <w:tc>
          <w:tcPr>
            <w:tcW w:w="3192" w:type="dxa"/>
          </w:tcPr>
          <w:p w:rsidR="00C17338" w:rsidRPr="007C30C0" w:rsidRDefault="00C17338" w:rsidP="007C30C0">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GUSTAVO PINARES CCORIMANYA</w:t>
            </w:r>
          </w:p>
        </w:tc>
        <w:tc>
          <w:tcPr>
            <w:tcW w:w="3192" w:type="dxa"/>
          </w:tcPr>
          <w:p w:rsidR="00C17338" w:rsidRPr="007C30C0" w:rsidRDefault="007C30C0" w:rsidP="00E53AA4">
            <w:pPr>
              <w:tabs>
                <w:tab w:val="left" w:pos="720"/>
              </w:tabs>
              <w:spacing w:after="100" w:line="360" w:lineRule="auto"/>
              <w:jc w:val="both"/>
              <w:rPr>
                <w:rFonts w:ascii="Times New Roman" w:hAnsi="Times New Roman" w:cs="Times New Roman"/>
                <w:bCs/>
                <w:sz w:val="28"/>
                <w:szCs w:val="28"/>
              </w:rPr>
            </w:pPr>
            <w:r w:rsidRPr="007C30C0">
              <w:rPr>
                <w:rFonts w:ascii="Times New Roman" w:hAnsi="Times New Roman" w:cs="Times New Roman"/>
                <w:bCs/>
                <w:sz w:val="28"/>
                <w:szCs w:val="28"/>
              </w:rPr>
              <w:t>The DC voltage of the HVDC system has been identified to be an important parameter analogous to the frequency in AC systems.</w:t>
            </w:r>
          </w:p>
        </w:tc>
      </w:tr>
    </w:tbl>
    <w:p w:rsidR="00CC5A13" w:rsidRDefault="00CC5A1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CC5A13" w:rsidRDefault="00801748" w:rsidP="00CC5A13">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CC5A13" w:rsidRPr="00CC5A13" w:rsidRDefault="00CC5A13" w:rsidP="00CC5A13">
      <w:pPr>
        <w:spacing w:line="360" w:lineRule="auto"/>
        <w:ind w:left="360"/>
        <w:jc w:val="both"/>
        <w:rPr>
          <w:rFonts w:ascii="Times New Roman" w:hAnsi="Times New Roman" w:cs="Times New Roman"/>
          <w:sz w:val="28"/>
          <w:szCs w:val="28"/>
        </w:rPr>
      </w:pPr>
    </w:p>
    <w:p w:rsidR="00305BF0" w:rsidRPr="00D81E16" w:rsidRDefault="00305BF0" w:rsidP="00CC5A1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D0E3E" w:rsidRDefault="00405E73" w:rsidP="00E53AA4">
      <w:pPr>
        <w:spacing w:after="0" w:line="360" w:lineRule="auto"/>
        <w:jc w:val="both"/>
        <w:rPr>
          <w:rFonts w:ascii="Times New Roman" w:hAnsi="Times New Roman" w:cs="Times New Roman"/>
          <w:b/>
          <w:sz w:val="40"/>
          <w:szCs w:val="40"/>
        </w:rPr>
      </w:pPr>
      <w:r w:rsidRPr="002D0E3E">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C5A13" w:rsidP="00E53AA4">
      <w:pPr>
        <w:spacing w:after="0" w:line="360" w:lineRule="auto"/>
        <w:jc w:val="both"/>
        <w:rPr>
          <w:rFonts w:ascii="Times New Roman" w:hAnsi="Times New Roman" w:cs="Times New Roman"/>
        </w:rPr>
      </w:pPr>
      <w:r w:rsidRPr="00CC5A13">
        <w:rPr>
          <w:rFonts w:ascii="Times New Roman" w:hAnsi="Times New Roman" w:cs="Times New Roman"/>
        </w:rPr>
        <w:drawing>
          <wp:inline distT="0" distB="0" distL="0" distR="0">
            <wp:extent cx="5938964" cy="5191125"/>
            <wp:effectExtent l="19050" t="0" r="4636"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943600" cy="519517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2D0E3E"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CC5A13" w:rsidRDefault="0000536F" w:rsidP="00CC5A13">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2D0E3E" w:rsidRDefault="002D0E3E" w:rsidP="00E53AA4">
      <w:pPr>
        <w:tabs>
          <w:tab w:val="left" w:pos="1309"/>
          <w:tab w:val="center" w:pos="4680"/>
        </w:tabs>
        <w:spacing w:line="360" w:lineRule="auto"/>
        <w:jc w:val="both"/>
        <w:rPr>
          <w:rFonts w:ascii="Times New Roman" w:hAnsi="Times New Roman" w:cs="Times New Roman"/>
          <w:b/>
          <w:sz w:val="28"/>
          <w:szCs w:val="28"/>
        </w:rPr>
      </w:pPr>
    </w:p>
    <w:p w:rsidR="002D0E3E" w:rsidRDefault="002D0E3E"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21DC9" w:rsidRPr="00D21DC9" w:rsidRDefault="00D21DC9" w:rsidP="00D21DC9">
      <w:pPr>
        <w:pStyle w:val="BodyText"/>
        <w:rPr>
          <w:bCs/>
          <w:iCs/>
          <w:sz w:val="32"/>
          <w:szCs w:val="32"/>
          <w:lang w:val="en-IN"/>
        </w:rPr>
      </w:pPr>
      <w:r w:rsidRPr="00D21DC9">
        <w:rPr>
          <w:bCs/>
          <w:iCs/>
          <w:sz w:val="32"/>
          <w:szCs w:val="32"/>
          <w:lang w:val="en-IN"/>
        </w:rPr>
        <w:t xml:space="preserve">   In this paper, the VSC-HVDC controller is studied for the analysis of power flows and electromechanical transients in power system. The typical VSC-HVDC system is modeled with constant active power and reactive power controller at rectifier and constant AC voltage and DC voltage controller at inverter. Steady state analysis of the system is carried out with the help of voltage magnitudeand angle. Transient stability Analysis with load through off at rectifier is studied and observed that constant active power controller is able to maintain constant power at rectifier.</w:t>
      </w:r>
      <w:r w:rsidRPr="00D21DC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D21DC9" w:rsidRDefault="00D21D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21DC9" w:rsidRDefault="003D40DC" w:rsidP="00D21DC9">
      <w:pPr>
        <w:pStyle w:val="BodyText"/>
        <w:numPr>
          <w:ilvl w:val="0"/>
          <w:numId w:val="42"/>
        </w:numPr>
        <w:rPr>
          <w:sz w:val="32"/>
          <w:szCs w:val="32"/>
          <w:lang w:val="en-IN"/>
        </w:rPr>
      </w:pPr>
      <w:r w:rsidRPr="00D21DC9">
        <w:rPr>
          <w:sz w:val="32"/>
          <w:szCs w:val="32"/>
          <w:lang w:val="en-IN"/>
        </w:rPr>
        <w:t>[1] HERTZ, Energinet.dk, Svenska Kraftnät, “Kriegers Flak Combined Grid Solution Feasibility Study,” Joint Repo</w:t>
      </w:r>
      <w:r w:rsidRPr="00D21DC9">
        <w:rPr>
          <w:sz w:val="32"/>
          <w:szCs w:val="32"/>
          <w:lang w:val="en-IN"/>
        </w:rPr>
        <w:t xml:space="preserve">rt, 24,February,2010.http://www.50hertz.com/en/file/2010-02- 24_Final_Feasibility_Study_Public.pdf. </w:t>
      </w:r>
    </w:p>
    <w:p w:rsidR="00000000" w:rsidRPr="00D21DC9" w:rsidRDefault="003D40DC" w:rsidP="00D21DC9">
      <w:pPr>
        <w:pStyle w:val="BodyText"/>
        <w:numPr>
          <w:ilvl w:val="0"/>
          <w:numId w:val="42"/>
        </w:numPr>
        <w:rPr>
          <w:sz w:val="32"/>
          <w:szCs w:val="32"/>
          <w:lang w:val="en-IN"/>
        </w:rPr>
      </w:pPr>
      <w:r w:rsidRPr="00D21DC9">
        <w:rPr>
          <w:sz w:val="32"/>
          <w:szCs w:val="32"/>
          <w:lang w:val="en-IN"/>
        </w:rPr>
        <w:t xml:space="preserve">[2] E. Koldby, M. Hyttinen, “Challenges on the Road to an Offshore HVDC Grid,” 5thNordic Wind Power Conference, 10-11, September 2009 </w:t>
      </w:r>
    </w:p>
    <w:p w:rsidR="00000000" w:rsidRPr="00D21DC9" w:rsidRDefault="003D40DC" w:rsidP="00D21DC9">
      <w:pPr>
        <w:pStyle w:val="BodyText"/>
        <w:numPr>
          <w:ilvl w:val="0"/>
          <w:numId w:val="42"/>
        </w:numPr>
        <w:rPr>
          <w:sz w:val="32"/>
          <w:szCs w:val="32"/>
          <w:lang w:val="en-IN"/>
        </w:rPr>
      </w:pPr>
      <w:r w:rsidRPr="00D21DC9">
        <w:rPr>
          <w:sz w:val="32"/>
          <w:szCs w:val="32"/>
          <w:lang w:val="en-IN"/>
        </w:rPr>
        <w:t>[3] G. Asplund, B.</w:t>
      </w:r>
      <w:r w:rsidRPr="00D21DC9">
        <w:rPr>
          <w:sz w:val="32"/>
          <w:szCs w:val="32"/>
          <w:lang w:val="en-IN"/>
        </w:rPr>
        <w:t xml:space="preserve"> Jacobson, B. Berggren, K. Lindén, “Continental Overlay HVDC-Grid,”Cigré Session, Paris, France, 22-27, August, 2010 </w:t>
      </w:r>
    </w:p>
    <w:p w:rsidR="00000000" w:rsidRPr="00D21DC9" w:rsidRDefault="003D40DC" w:rsidP="00D21DC9">
      <w:pPr>
        <w:pStyle w:val="BodyText"/>
        <w:numPr>
          <w:ilvl w:val="0"/>
          <w:numId w:val="42"/>
        </w:numPr>
        <w:rPr>
          <w:sz w:val="32"/>
          <w:szCs w:val="32"/>
          <w:lang w:val="en-IN"/>
        </w:rPr>
      </w:pPr>
      <w:r w:rsidRPr="00D21DC9">
        <w:rPr>
          <w:sz w:val="32"/>
          <w:szCs w:val="32"/>
          <w:lang w:val="en-IN"/>
        </w:rPr>
        <w:t>[4] A. L’Abbate, G. Migliavacca, U. Häger, C. Rehtanz, S. Rüberg, H. Ferreira, G. Fulli, A.Purvins, “The role of facts and HVDC in the fu</w:t>
      </w:r>
      <w:r w:rsidRPr="00D21DC9">
        <w:rPr>
          <w:sz w:val="32"/>
          <w:szCs w:val="32"/>
          <w:lang w:val="en-IN"/>
        </w:rPr>
        <w:t xml:space="preserve">ture paneuropean transmission system development,” 9th IET International Conference on AC and DC Power Transmission,London, UK, 19-21 Oct. 2010 </w:t>
      </w:r>
    </w:p>
    <w:p w:rsidR="00000000" w:rsidRPr="00D21DC9" w:rsidRDefault="003D40DC" w:rsidP="00D21DC9">
      <w:pPr>
        <w:pStyle w:val="BodyText"/>
        <w:numPr>
          <w:ilvl w:val="0"/>
          <w:numId w:val="42"/>
        </w:numPr>
        <w:rPr>
          <w:sz w:val="32"/>
          <w:szCs w:val="32"/>
          <w:lang w:val="en-IN"/>
        </w:rPr>
      </w:pPr>
      <w:r w:rsidRPr="00D21DC9">
        <w:rPr>
          <w:sz w:val="32"/>
          <w:szCs w:val="32"/>
          <w:lang w:val="en-IN"/>
        </w:rPr>
        <w:t>[5] J. Arrillaga, Y.H. Liu, N.R.Watson, Flexible Power Transmission: the HVDC Options,pp. 98, John Wiley and S</w:t>
      </w:r>
      <w:r w:rsidRPr="00D21DC9">
        <w:rPr>
          <w:sz w:val="32"/>
          <w:szCs w:val="32"/>
          <w:lang w:val="en-IN"/>
        </w:rPr>
        <w:t>ons Ltd, 2007.</w:t>
      </w:r>
      <w:r w:rsidRPr="00D21DC9">
        <w:rPr>
          <w:sz w:val="32"/>
          <w:szCs w:val="32"/>
        </w:rPr>
        <w:t xml:space="preserve"> </w:t>
      </w:r>
    </w:p>
    <w:p w:rsidR="00000000" w:rsidRPr="00D21DC9" w:rsidRDefault="003D40DC" w:rsidP="00D21DC9">
      <w:pPr>
        <w:pStyle w:val="BodyText"/>
        <w:numPr>
          <w:ilvl w:val="0"/>
          <w:numId w:val="42"/>
        </w:numPr>
        <w:rPr>
          <w:sz w:val="32"/>
          <w:szCs w:val="32"/>
          <w:lang w:val="en-IN"/>
        </w:rPr>
      </w:pPr>
      <w:r w:rsidRPr="00D21DC9">
        <w:rPr>
          <w:sz w:val="32"/>
          <w:szCs w:val="32"/>
          <w:lang w:val="en-IN"/>
        </w:rPr>
        <w:t xml:space="preserve">[6] GUSTAVO PINARES CCORIMANYA“Operation of HVDC Grids in Parallel withAC Grids”thesis Sweden, 2010. </w:t>
      </w:r>
    </w:p>
    <w:p w:rsidR="00000000" w:rsidRPr="00D21DC9" w:rsidRDefault="003D40DC" w:rsidP="00D21DC9">
      <w:pPr>
        <w:pStyle w:val="BodyText"/>
        <w:numPr>
          <w:ilvl w:val="0"/>
          <w:numId w:val="42"/>
        </w:numPr>
        <w:rPr>
          <w:sz w:val="32"/>
          <w:szCs w:val="32"/>
          <w:lang w:val="en-IN"/>
        </w:rPr>
      </w:pPr>
      <w:r w:rsidRPr="00D21DC9">
        <w:rPr>
          <w:sz w:val="32"/>
          <w:szCs w:val="32"/>
          <w:lang w:val="en-IN"/>
        </w:rPr>
        <w:t xml:space="preserve">[7] J. Arrillaga, C. P. Arnold, “Computer Analysis of Power Systems,” Universityof Canterbury, John Wiley &amp; Sons, 1990. </w:t>
      </w:r>
    </w:p>
    <w:p w:rsidR="00000000" w:rsidRPr="00D21DC9" w:rsidRDefault="003D40DC" w:rsidP="00D21DC9">
      <w:pPr>
        <w:pStyle w:val="BodyText"/>
        <w:numPr>
          <w:ilvl w:val="0"/>
          <w:numId w:val="42"/>
        </w:numPr>
        <w:rPr>
          <w:sz w:val="32"/>
          <w:szCs w:val="32"/>
          <w:lang w:val="en-IN"/>
        </w:rPr>
      </w:pPr>
      <w:r w:rsidRPr="00D21DC9">
        <w:rPr>
          <w:sz w:val="32"/>
          <w:szCs w:val="32"/>
          <w:lang w:val="en-IN"/>
        </w:rPr>
        <w:lastRenderedPageBreak/>
        <w:t>[8] STRI AB, “</w:t>
      </w:r>
      <w:r w:rsidRPr="00D21DC9">
        <w:rPr>
          <w:sz w:val="32"/>
          <w:szCs w:val="32"/>
          <w:lang w:val="en-IN"/>
        </w:rPr>
        <w:t xml:space="preserve">SIMPOW User Manual 11.0,” Release 11, Sweden, 2010. </w:t>
      </w:r>
    </w:p>
    <w:p w:rsidR="00000000" w:rsidRPr="00D21DC9" w:rsidRDefault="003D40DC" w:rsidP="00D21DC9">
      <w:pPr>
        <w:pStyle w:val="BodyText"/>
        <w:numPr>
          <w:ilvl w:val="0"/>
          <w:numId w:val="42"/>
        </w:numPr>
        <w:rPr>
          <w:sz w:val="32"/>
          <w:szCs w:val="32"/>
          <w:lang w:val="en-IN"/>
        </w:rPr>
      </w:pPr>
      <w:r w:rsidRPr="00D21DC9">
        <w:rPr>
          <w:sz w:val="32"/>
          <w:szCs w:val="32"/>
          <w:lang w:val="en-IN"/>
        </w:rPr>
        <w:t xml:space="preserve">[9] Stijn Cole, Jef Beerten, Ronnie Belmans, “Generalized Dynamic VSC MTDC Model for Power System Stability Studies,” IEEE Transactions on Power Systems, Vol 24, No. 4, November, 2009 </w:t>
      </w:r>
    </w:p>
    <w:p w:rsidR="00000000" w:rsidRPr="00D21DC9" w:rsidRDefault="003D40DC" w:rsidP="00D21DC9">
      <w:pPr>
        <w:pStyle w:val="BodyText"/>
        <w:numPr>
          <w:ilvl w:val="0"/>
          <w:numId w:val="42"/>
        </w:numPr>
        <w:rPr>
          <w:sz w:val="32"/>
          <w:szCs w:val="32"/>
          <w:lang w:val="en-IN"/>
        </w:rPr>
      </w:pPr>
      <w:r w:rsidRPr="00D21DC9">
        <w:rPr>
          <w:sz w:val="32"/>
          <w:szCs w:val="32"/>
          <w:lang w:val="en-IN"/>
        </w:rPr>
        <w:t>[10] Temesgen M.</w:t>
      </w:r>
      <w:r w:rsidRPr="00D21DC9">
        <w:rPr>
          <w:sz w:val="32"/>
          <w:szCs w:val="32"/>
          <w:lang w:val="en-IN"/>
        </w:rPr>
        <w:t xml:space="preserve"> Hailesalassie, Marta Molinas, Tore Undeland, “Multi-terminal VSC-HVDC System for Integration of Offshore Wind Farms and Green Electrification of Platforms in the North Sea,” NORPIE 2008, Espoo, Finland, 9 - 11 June,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0DC" w:rsidRDefault="003D40DC" w:rsidP="003654DF">
      <w:pPr>
        <w:spacing w:after="0" w:line="240" w:lineRule="auto"/>
      </w:pPr>
      <w:r>
        <w:separator/>
      </w:r>
    </w:p>
  </w:endnote>
  <w:endnote w:type="continuationSeparator" w:id="1">
    <w:p w:rsidR="003D40DC" w:rsidRDefault="003D40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0DC" w:rsidRDefault="003D40DC" w:rsidP="003654DF">
      <w:pPr>
        <w:spacing w:after="0" w:line="240" w:lineRule="auto"/>
      </w:pPr>
      <w:r>
        <w:separator/>
      </w:r>
    </w:p>
  </w:footnote>
  <w:footnote w:type="continuationSeparator" w:id="1">
    <w:p w:rsidR="003D40DC" w:rsidRDefault="003D40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5704">
        <w:pPr>
          <w:pStyle w:val="Header"/>
          <w:jc w:val="right"/>
        </w:pPr>
        <w:fldSimple w:instr=" PAGE   \* MERGEFORMAT ">
          <w:r w:rsidR="00CC5A1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B71583"/>
    <w:multiLevelType w:val="hybridMultilevel"/>
    <w:tmpl w:val="F8B86C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1A7674"/>
    <w:multiLevelType w:val="hybridMultilevel"/>
    <w:tmpl w:val="461625F0"/>
    <w:lvl w:ilvl="0" w:tplc="D3866CF2">
      <w:start w:val="1"/>
      <w:numFmt w:val="bullet"/>
      <w:lvlText w:val=""/>
      <w:lvlJc w:val="left"/>
      <w:pPr>
        <w:tabs>
          <w:tab w:val="num" w:pos="720"/>
        </w:tabs>
        <w:ind w:left="720" w:hanging="360"/>
      </w:pPr>
      <w:rPr>
        <w:rFonts w:ascii="Wingdings 2" w:hAnsi="Wingdings 2" w:hint="default"/>
      </w:rPr>
    </w:lvl>
    <w:lvl w:ilvl="1" w:tplc="189A2E76" w:tentative="1">
      <w:start w:val="1"/>
      <w:numFmt w:val="bullet"/>
      <w:lvlText w:val=""/>
      <w:lvlJc w:val="left"/>
      <w:pPr>
        <w:tabs>
          <w:tab w:val="num" w:pos="1440"/>
        </w:tabs>
        <w:ind w:left="1440" w:hanging="360"/>
      </w:pPr>
      <w:rPr>
        <w:rFonts w:ascii="Wingdings 2" w:hAnsi="Wingdings 2" w:hint="default"/>
      </w:rPr>
    </w:lvl>
    <w:lvl w:ilvl="2" w:tplc="B9F2F2B8" w:tentative="1">
      <w:start w:val="1"/>
      <w:numFmt w:val="bullet"/>
      <w:lvlText w:val=""/>
      <w:lvlJc w:val="left"/>
      <w:pPr>
        <w:tabs>
          <w:tab w:val="num" w:pos="2160"/>
        </w:tabs>
        <w:ind w:left="2160" w:hanging="360"/>
      </w:pPr>
      <w:rPr>
        <w:rFonts w:ascii="Wingdings 2" w:hAnsi="Wingdings 2" w:hint="default"/>
      </w:rPr>
    </w:lvl>
    <w:lvl w:ilvl="3" w:tplc="1DD60910" w:tentative="1">
      <w:start w:val="1"/>
      <w:numFmt w:val="bullet"/>
      <w:lvlText w:val=""/>
      <w:lvlJc w:val="left"/>
      <w:pPr>
        <w:tabs>
          <w:tab w:val="num" w:pos="2880"/>
        </w:tabs>
        <w:ind w:left="2880" w:hanging="360"/>
      </w:pPr>
      <w:rPr>
        <w:rFonts w:ascii="Wingdings 2" w:hAnsi="Wingdings 2" w:hint="default"/>
      </w:rPr>
    </w:lvl>
    <w:lvl w:ilvl="4" w:tplc="2668AFEA" w:tentative="1">
      <w:start w:val="1"/>
      <w:numFmt w:val="bullet"/>
      <w:lvlText w:val=""/>
      <w:lvlJc w:val="left"/>
      <w:pPr>
        <w:tabs>
          <w:tab w:val="num" w:pos="3600"/>
        </w:tabs>
        <w:ind w:left="3600" w:hanging="360"/>
      </w:pPr>
      <w:rPr>
        <w:rFonts w:ascii="Wingdings 2" w:hAnsi="Wingdings 2" w:hint="default"/>
      </w:rPr>
    </w:lvl>
    <w:lvl w:ilvl="5" w:tplc="4E3E1F02" w:tentative="1">
      <w:start w:val="1"/>
      <w:numFmt w:val="bullet"/>
      <w:lvlText w:val=""/>
      <w:lvlJc w:val="left"/>
      <w:pPr>
        <w:tabs>
          <w:tab w:val="num" w:pos="4320"/>
        </w:tabs>
        <w:ind w:left="4320" w:hanging="360"/>
      </w:pPr>
      <w:rPr>
        <w:rFonts w:ascii="Wingdings 2" w:hAnsi="Wingdings 2" w:hint="default"/>
      </w:rPr>
    </w:lvl>
    <w:lvl w:ilvl="6" w:tplc="0DE0B1FE" w:tentative="1">
      <w:start w:val="1"/>
      <w:numFmt w:val="bullet"/>
      <w:lvlText w:val=""/>
      <w:lvlJc w:val="left"/>
      <w:pPr>
        <w:tabs>
          <w:tab w:val="num" w:pos="5040"/>
        </w:tabs>
        <w:ind w:left="5040" w:hanging="360"/>
      </w:pPr>
      <w:rPr>
        <w:rFonts w:ascii="Wingdings 2" w:hAnsi="Wingdings 2" w:hint="default"/>
      </w:rPr>
    </w:lvl>
    <w:lvl w:ilvl="7" w:tplc="DFB6E1F8" w:tentative="1">
      <w:start w:val="1"/>
      <w:numFmt w:val="bullet"/>
      <w:lvlText w:val=""/>
      <w:lvlJc w:val="left"/>
      <w:pPr>
        <w:tabs>
          <w:tab w:val="num" w:pos="5760"/>
        </w:tabs>
        <w:ind w:left="5760" w:hanging="360"/>
      </w:pPr>
      <w:rPr>
        <w:rFonts w:ascii="Wingdings 2" w:hAnsi="Wingdings 2" w:hint="default"/>
      </w:rPr>
    </w:lvl>
    <w:lvl w:ilvl="8" w:tplc="6EFC24C4"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D72916"/>
    <w:multiLevelType w:val="hybridMultilevel"/>
    <w:tmpl w:val="F654B78A"/>
    <w:lvl w:ilvl="0" w:tplc="C9928CB8">
      <w:start w:val="1"/>
      <w:numFmt w:val="bullet"/>
      <w:lvlText w:val=""/>
      <w:lvlJc w:val="left"/>
      <w:pPr>
        <w:tabs>
          <w:tab w:val="num" w:pos="720"/>
        </w:tabs>
        <w:ind w:left="720" w:hanging="360"/>
      </w:pPr>
      <w:rPr>
        <w:rFonts w:ascii="Wingdings 2" w:hAnsi="Wingdings 2" w:hint="default"/>
      </w:rPr>
    </w:lvl>
    <w:lvl w:ilvl="1" w:tplc="E2EE6DB4" w:tentative="1">
      <w:start w:val="1"/>
      <w:numFmt w:val="bullet"/>
      <w:lvlText w:val=""/>
      <w:lvlJc w:val="left"/>
      <w:pPr>
        <w:tabs>
          <w:tab w:val="num" w:pos="1440"/>
        </w:tabs>
        <w:ind w:left="1440" w:hanging="360"/>
      </w:pPr>
      <w:rPr>
        <w:rFonts w:ascii="Wingdings 2" w:hAnsi="Wingdings 2" w:hint="default"/>
      </w:rPr>
    </w:lvl>
    <w:lvl w:ilvl="2" w:tplc="135AD9E2" w:tentative="1">
      <w:start w:val="1"/>
      <w:numFmt w:val="bullet"/>
      <w:lvlText w:val=""/>
      <w:lvlJc w:val="left"/>
      <w:pPr>
        <w:tabs>
          <w:tab w:val="num" w:pos="2160"/>
        </w:tabs>
        <w:ind w:left="2160" w:hanging="360"/>
      </w:pPr>
      <w:rPr>
        <w:rFonts w:ascii="Wingdings 2" w:hAnsi="Wingdings 2" w:hint="default"/>
      </w:rPr>
    </w:lvl>
    <w:lvl w:ilvl="3" w:tplc="440A84F4" w:tentative="1">
      <w:start w:val="1"/>
      <w:numFmt w:val="bullet"/>
      <w:lvlText w:val=""/>
      <w:lvlJc w:val="left"/>
      <w:pPr>
        <w:tabs>
          <w:tab w:val="num" w:pos="2880"/>
        </w:tabs>
        <w:ind w:left="2880" w:hanging="360"/>
      </w:pPr>
      <w:rPr>
        <w:rFonts w:ascii="Wingdings 2" w:hAnsi="Wingdings 2" w:hint="default"/>
      </w:rPr>
    </w:lvl>
    <w:lvl w:ilvl="4" w:tplc="0F625FB2" w:tentative="1">
      <w:start w:val="1"/>
      <w:numFmt w:val="bullet"/>
      <w:lvlText w:val=""/>
      <w:lvlJc w:val="left"/>
      <w:pPr>
        <w:tabs>
          <w:tab w:val="num" w:pos="3600"/>
        </w:tabs>
        <w:ind w:left="3600" w:hanging="360"/>
      </w:pPr>
      <w:rPr>
        <w:rFonts w:ascii="Wingdings 2" w:hAnsi="Wingdings 2" w:hint="default"/>
      </w:rPr>
    </w:lvl>
    <w:lvl w:ilvl="5" w:tplc="843EA75C" w:tentative="1">
      <w:start w:val="1"/>
      <w:numFmt w:val="bullet"/>
      <w:lvlText w:val=""/>
      <w:lvlJc w:val="left"/>
      <w:pPr>
        <w:tabs>
          <w:tab w:val="num" w:pos="4320"/>
        </w:tabs>
        <w:ind w:left="4320" w:hanging="360"/>
      </w:pPr>
      <w:rPr>
        <w:rFonts w:ascii="Wingdings 2" w:hAnsi="Wingdings 2" w:hint="default"/>
      </w:rPr>
    </w:lvl>
    <w:lvl w:ilvl="6" w:tplc="1CBCC290" w:tentative="1">
      <w:start w:val="1"/>
      <w:numFmt w:val="bullet"/>
      <w:lvlText w:val=""/>
      <w:lvlJc w:val="left"/>
      <w:pPr>
        <w:tabs>
          <w:tab w:val="num" w:pos="5040"/>
        </w:tabs>
        <w:ind w:left="5040" w:hanging="360"/>
      </w:pPr>
      <w:rPr>
        <w:rFonts w:ascii="Wingdings 2" w:hAnsi="Wingdings 2" w:hint="default"/>
      </w:rPr>
    </w:lvl>
    <w:lvl w:ilvl="7" w:tplc="904424F2" w:tentative="1">
      <w:start w:val="1"/>
      <w:numFmt w:val="bullet"/>
      <w:lvlText w:val=""/>
      <w:lvlJc w:val="left"/>
      <w:pPr>
        <w:tabs>
          <w:tab w:val="num" w:pos="5760"/>
        </w:tabs>
        <w:ind w:left="5760" w:hanging="360"/>
      </w:pPr>
      <w:rPr>
        <w:rFonts w:ascii="Wingdings 2" w:hAnsi="Wingdings 2" w:hint="default"/>
      </w:rPr>
    </w:lvl>
    <w:lvl w:ilvl="8" w:tplc="E0386846"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0A7CB8"/>
    <w:multiLevelType w:val="hybridMultilevel"/>
    <w:tmpl w:val="E59AD00E"/>
    <w:lvl w:ilvl="0" w:tplc="410E2DE4">
      <w:start w:val="1"/>
      <w:numFmt w:val="bullet"/>
      <w:lvlText w:val=""/>
      <w:lvlJc w:val="left"/>
      <w:pPr>
        <w:tabs>
          <w:tab w:val="num" w:pos="720"/>
        </w:tabs>
        <w:ind w:left="720" w:hanging="360"/>
      </w:pPr>
      <w:rPr>
        <w:rFonts w:ascii="Wingdings 2" w:hAnsi="Wingdings 2" w:hint="default"/>
      </w:rPr>
    </w:lvl>
    <w:lvl w:ilvl="1" w:tplc="0DAA7AC6" w:tentative="1">
      <w:start w:val="1"/>
      <w:numFmt w:val="bullet"/>
      <w:lvlText w:val=""/>
      <w:lvlJc w:val="left"/>
      <w:pPr>
        <w:tabs>
          <w:tab w:val="num" w:pos="1440"/>
        </w:tabs>
        <w:ind w:left="1440" w:hanging="360"/>
      </w:pPr>
      <w:rPr>
        <w:rFonts w:ascii="Wingdings 2" w:hAnsi="Wingdings 2" w:hint="default"/>
      </w:rPr>
    </w:lvl>
    <w:lvl w:ilvl="2" w:tplc="9350CB0A" w:tentative="1">
      <w:start w:val="1"/>
      <w:numFmt w:val="bullet"/>
      <w:lvlText w:val=""/>
      <w:lvlJc w:val="left"/>
      <w:pPr>
        <w:tabs>
          <w:tab w:val="num" w:pos="2160"/>
        </w:tabs>
        <w:ind w:left="2160" w:hanging="360"/>
      </w:pPr>
      <w:rPr>
        <w:rFonts w:ascii="Wingdings 2" w:hAnsi="Wingdings 2" w:hint="default"/>
      </w:rPr>
    </w:lvl>
    <w:lvl w:ilvl="3" w:tplc="D6807F90" w:tentative="1">
      <w:start w:val="1"/>
      <w:numFmt w:val="bullet"/>
      <w:lvlText w:val=""/>
      <w:lvlJc w:val="left"/>
      <w:pPr>
        <w:tabs>
          <w:tab w:val="num" w:pos="2880"/>
        </w:tabs>
        <w:ind w:left="2880" w:hanging="360"/>
      </w:pPr>
      <w:rPr>
        <w:rFonts w:ascii="Wingdings 2" w:hAnsi="Wingdings 2" w:hint="default"/>
      </w:rPr>
    </w:lvl>
    <w:lvl w:ilvl="4" w:tplc="46E29D94" w:tentative="1">
      <w:start w:val="1"/>
      <w:numFmt w:val="bullet"/>
      <w:lvlText w:val=""/>
      <w:lvlJc w:val="left"/>
      <w:pPr>
        <w:tabs>
          <w:tab w:val="num" w:pos="3600"/>
        </w:tabs>
        <w:ind w:left="3600" w:hanging="360"/>
      </w:pPr>
      <w:rPr>
        <w:rFonts w:ascii="Wingdings 2" w:hAnsi="Wingdings 2" w:hint="default"/>
      </w:rPr>
    </w:lvl>
    <w:lvl w:ilvl="5" w:tplc="D8281ADA" w:tentative="1">
      <w:start w:val="1"/>
      <w:numFmt w:val="bullet"/>
      <w:lvlText w:val=""/>
      <w:lvlJc w:val="left"/>
      <w:pPr>
        <w:tabs>
          <w:tab w:val="num" w:pos="4320"/>
        </w:tabs>
        <w:ind w:left="4320" w:hanging="360"/>
      </w:pPr>
      <w:rPr>
        <w:rFonts w:ascii="Wingdings 2" w:hAnsi="Wingdings 2" w:hint="default"/>
      </w:rPr>
    </w:lvl>
    <w:lvl w:ilvl="6" w:tplc="6986A154" w:tentative="1">
      <w:start w:val="1"/>
      <w:numFmt w:val="bullet"/>
      <w:lvlText w:val=""/>
      <w:lvlJc w:val="left"/>
      <w:pPr>
        <w:tabs>
          <w:tab w:val="num" w:pos="5040"/>
        </w:tabs>
        <w:ind w:left="5040" w:hanging="360"/>
      </w:pPr>
      <w:rPr>
        <w:rFonts w:ascii="Wingdings 2" w:hAnsi="Wingdings 2" w:hint="default"/>
      </w:rPr>
    </w:lvl>
    <w:lvl w:ilvl="7" w:tplc="9984ED6E" w:tentative="1">
      <w:start w:val="1"/>
      <w:numFmt w:val="bullet"/>
      <w:lvlText w:val=""/>
      <w:lvlJc w:val="left"/>
      <w:pPr>
        <w:tabs>
          <w:tab w:val="num" w:pos="5760"/>
        </w:tabs>
        <w:ind w:left="5760" w:hanging="360"/>
      </w:pPr>
      <w:rPr>
        <w:rFonts w:ascii="Wingdings 2" w:hAnsi="Wingdings 2" w:hint="default"/>
      </w:rPr>
    </w:lvl>
    <w:lvl w:ilvl="8" w:tplc="43F0CD8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AC4502"/>
    <w:multiLevelType w:val="hybridMultilevel"/>
    <w:tmpl w:val="43BC09DA"/>
    <w:lvl w:ilvl="0" w:tplc="345CF672">
      <w:start w:val="1"/>
      <w:numFmt w:val="bullet"/>
      <w:lvlText w:val=""/>
      <w:lvlJc w:val="left"/>
      <w:pPr>
        <w:tabs>
          <w:tab w:val="num" w:pos="720"/>
        </w:tabs>
        <w:ind w:left="720" w:hanging="360"/>
      </w:pPr>
      <w:rPr>
        <w:rFonts w:ascii="Wingdings 2" w:hAnsi="Wingdings 2" w:hint="default"/>
      </w:rPr>
    </w:lvl>
    <w:lvl w:ilvl="1" w:tplc="0AFEECEC" w:tentative="1">
      <w:start w:val="1"/>
      <w:numFmt w:val="bullet"/>
      <w:lvlText w:val=""/>
      <w:lvlJc w:val="left"/>
      <w:pPr>
        <w:tabs>
          <w:tab w:val="num" w:pos="1440"/>
        </w:tabs>
        <w:ind w:left="1440" w:hanging="360"/>
      </w:pPr>
      <w:rPr>
        <w:rFonts w:ascii="Wingdings 2" w:hAnsi="Wingdings 2" w:hint="default"/>
      </w:rPr>
    </w:lvl>
    <w:lvl w:ilvl="2" w:tplc="E104F1A2" w:tentative="1">
      <w:start w:val="1"/>
      <w:numFmt w:val="bullet"/>
      <w:lvlText w:val=""/>
      <w:lvlJc w:val="left"/>
      <w:pPr>
        <w:tabs>
          <w:tab w:val="num" w:pos="2160"/>
        </w:tabs>
        <w:ind w:left="2160" w:hanging="360"/>
      </w:pPr>
      <w:rPr>
        <w:rFonts w:ascii="Wingdings 2" w:hAnsi="Wingdings 2" w:hint="default"/>
      </w:rPr>
    </w:lvl>
    <w:lvl w:ilvl="3" w:tplc="6D327008" w:tentative="1">
      <w:start w:val="1"/>
      <w:numFmt w:val="bullet"/>
      <w:lvlText w:val=""/>
      <w:lvlJc w:val="left"/>
      <w:pPr>
        <w:tabs>
          <w:tab w:val="num" w:pos="2880"/>
        </w:tabs>
        <w:ind w:left="2880" w:hanging="360"/>
      </w:pPr>
      <w:rPr>
        <w:rFonts w:ascii="Wingdings 2" w:hAnsi="Wingdings 2" w:hint="default"/>
      </w:rPr>
    </w:lvl>
    <w:lvl w:ilvl="4" w:tplc="66AEB252" w:tentative="1">
      <w:start w:val="1"/>
      <w:numFmt w:val="bullet"/>
      <w:lvlText w:val=""/>
      <w:lvlJc w:val="left"/>
      <w:pPr>
        <w:tabs>
          <w:tab w:val="num" w:pos="3600"/>
        </w:tabs>
        <w:ind w:left="3600" w:hanging="360"/>
      </w:pPr>
      <w:rPr>
        <w:rFonts w:ascii="Wingdings 2" w:hAnsi="Wingdings 2" w:hint="default"/>
      </w:rPr>
    </w:lvl>
    <w:lvl w:ilvl="5" w:tplc="9114291C" w:tentative="1">
      <w:start w:val="1"/>
      <w:numFmt w:val="bullet"/>
      <w:lvlText w:val=""/>
      <w:lvlJc w:val="left"/>
      <w:pPr>
        <w:tabs>
          <w:tab w:val="num" w:pos="4320"/>
        </w:tabs>
        <w:ind w:left="4320" w:hanging="360"/>
      </w:pPr>
      <w:rPr>
        <w:rFonts w:ascii="Wingdings 2" w:hAnsi="Wingdings 2" w:hint="default"/>
      </w:rPr>
    </w:lvl>
    <w:lvl w:ilvl="6" w:tplc="6FD223C4" w:tentative="1">
      <w:start w:val="1"/>
      <w:numFmt w:val="bullet"/>
      <w:lvlText w:val=""/>
      <w:lvlJc w:val="left"/>
      <w:pPr>
        <w:tabs>
          <w:tab w:val="num" w:pos="5040"/>
        </w:tabs>
        <w:ind w:left="5040" w:hanging="360"/>
      </w:pPr>
      <w:rPr>
        <w:rFonts w:ascii="Wingdings 2" w:hAnsi="Wingdings 2" w:hint="default"/>
      </w:rPr>
    </w:lvl>
    <w:lvl w:ilvl="7" w:tplc="7B588268" w:tentative="1">
      <w:start w:val="1"/>
      <w:numFmt w:val="bullet"/>
      <w:lvlText w:val=""/>
      <w:lvlJc w:val="left"/>
      <w:pPr>
        <w:tabs>
          <w:tab w:val="num" w:pos="5760"/>
        </w:tabs>
        <w:ind w:left="5760" w:hanging="360"/>
      </w:pPr>
      <w:rPr>
        <w:rFonts w:ascii="Wingdings 2" w:hAnsi="Wingdings 2" w:hint="default"/>
      </w:rPr>
    </w:lvl>
    <w:lvl w:ilvl="8" w:tplc="440E48F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487DBC"/>
    <w:multiLevelType w:val="hybridMultilevel"/>
    <w:tmpl w:val="CC44CD74"/>
    <w:lvl w:ilvl="0" w:tplc="6DA247C2">
      <w:start w:val="1"/>
      <w:numFmt w:val="bullet"/>
      <w:lvlText w:val=""/>
      <w:lvlJc w:val="left"/>
      <w:pPr>
        <w:tabs>
          <w:tab w:val="num" w:pos="720"/>
        </w:tabs>
        <w:ind w:left="720" w:hanging="360"/>
      </w:pPr>
      <w:rPr>
        <w:rFonts w:ascii="Wingdings 2" w:hAnsi="Wingdings 2" w:hint="default"/>
      </w:rPr>
    </w:lvl>
    <w:lvl w:ilvl="1" w:tplc="39B2ADA4" w:tentative="1">
      <w:start w:val="1"/>
      <w:numFmt w:val="bullet"/>
      <w:lvlText w:val=""/>
      <w:lvlJc w:val="left"/>
      <w:pPr>
        <w:tabs>
          <w:tab w:val="num" w:pos="1440"/>
        </w:tabs>
        <w:ind w:left="1440" w:hanging="360"/>
      </w:pPr>
      <w:rPr>
        <w:rFonts w:ascii="Wingdings 2" w:hAnsi="Wingdings 2" w:hint="default"/>
      </w:rPr>
    </w:lvl>
    <w:lvl w:ilvl="2" w:tplc="0B5C4906" w:tentative="1">
      <w:start w:val="1"/>
      <w:numFmt w:val="bullet"/>
      <w:lvlText w:val=""/>
      <w:lvlJc w:val="left"/>
      <w:pPr>
        <w:tabs>
          <w:tab w:val="num" w:pos="2160"/>
        </w:tabs>
        <w:ind w:left="2160" w:hanging="360"/>
      </w:pPr>
      <w:rPr>
        <w:rFonts w:ascii="Wingdings 2" w:hAnsi="Wingdings 2" w:hint="default"/>
      </w:rPr>
    </w:lvl>
    <w:lvl w:ilvl="3" w:tplc="C3DA048A" w:tentative="1">
      <w:start w:val="1"/>
      <w:numFmt w:val="bullet"/>
      <w:lvlText w:val=""/>
      <w:lvlJc w:val="left"/>
      <w:pPr>
        <w:tabs>
          <w:tab w:val="num" w:pos="2880"/>
        </w:tabs>
        <w:ind w:left="2880" w:hanging="360"/>
      </w:pPr>
      <w:rPr>
        <w:rFonts w:ascii="Wingdings 2" w:hAnsi="Wingdings 2" w:hint="default"/>
      </w:rPr>
    </w:lvl>
    <w:lvl w:ilvl="4" w:tplc="6AE8D8C8" w:tentative="1">
      <w:start w:val="1"/>
      <w:numFmt w:val="bullet"/>
      <w:lvlText w:val=""/>
      <w:lvlJc w:val="left"/>
      <w:pPr>
        <w:tabs>
          <w:tab w:val="num" w:pos="3600"/>
        </w:tabs>
        <w:ind w:left="3600" w:hanging="360"/>
      </w:pPr>
      <w:rPr>
        <w:rFonts w:ascii="Wingdings 2" w:hAnsi="Wingdings 2" w:hint="default"/>
      </w:rPr>
    </w:lvl>
    <w:lvl w:ilvl="5" w:tplc="F5CE7BCE" w:tentative="1">
      <w:start w:val="1"/>
      <w:numFmt w:val="bullet"/>
      <w:lvlText w:val=""/>
      <w:lvlJc w:val="left"/>
      <w:pPr>
        <w:tabs>
          <w:tab w:val="num" w:pos="4320"/>
        </w:tabs>
        <w:ind w:left="4320" w:hanging="360"/>
      </w:pPr>
      <w:rPr>
        <w:rFonts w:ascii="Wingdings 2" w:hAnsi="Wingdings 2" w:hint="default"/>
      </w:rPr>
    </w:lvl>
    <w:lvl w:ilvl="6" w:tplc="F9B42320" w:tentative="1">
      <w:start w:val="1"/>
      <w:numFmt w:val="bullet"/>
      <w:lvlText w:val=""/>
      <w:lvlJc w:val="left"/>
      <w:pPr>
        <w:tabs>
          <w:tab w:val="num" w:pos="5040"/>
        </w:tabs>
        <w:ind w:left="5040" w:hanging="360"/>
      </w:pPr>
      <w:rPr>
        <w:rFonts w:ascii="Wingdings 2" w:hAnsi="Wingdings 2" w:hint="default"/>
      </w:rPr>
    </w:lvl>
    <w:lvl w:ilvl="7" w:tplc="DC58DA8C" w:tentative="1">
      <w:start w:val="1"/>
      <w:numFmt w:val="bullet"/>
      <w:lvlText w:val=""/>
      <w:lvlJc w:val="left"/>
      <w:pPr>
        <w:tabs>
          <w:tab w:val="num" w:pos="5760"/>
        </w:tabs>
        <w:ind w:left="5760" w:hanging="360"/>
      </w:pPr>
      <w:rPr>
        <w:rFonts w:ascii="Wingdings 2" w:hAnsi="Wingdings 2" w:hint="default"/>
      </w:rPr>
    </w:lvl>
    <w:lvl w:ilvl="8" w:tplc="C152F93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4"/>
  </w:num>
  <w:num w:numId="36">
    <w:abstractNumId w:val="11"/>
  </w:num>
  <w:num w:numId="37">
    <w:abstractNumId w:val="8"/>
  </w:num>
  <w:num w:numId="38">
    <w:abstractNumId w:val="38"/>
  </w:num>
  <w:num w:numId="39">
    <w:abstractNumId w:val="17"/>
  </w:num>
  <w:num w:numId="40">
    <w:abstractNumId w:val="12"/>
  </w:num>
  <w:num w:numId="41">
    <w:abstractNumId w:val="23"/>
  </w:num>
  <w:num w:numId="42">
    <w:abstractNumId w:val="15"/>
  </w:num>
  <w:num w:numId="43">
    <w:abstractNumId w:val="25"/>
  </w:num>
  <w:num w:numId="44">
    <w:abstractNumId w:val="33"/>
  </w:num>
  <w:num w:numId="45">
    <w:abstractNumId w:val="28"/>
  </w:num>
  <w:num w:numId="46">
    <w:abstractNumId w:val="13"/>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0E3E"/>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0DC"/>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5704"/>
    <w:rsid w:val="007A60DE"/>
    <w:rsid w:val="007A6138"/>
    <w:rsid w:val="007A6DCE"/>
    <w:rsid w:val="007B0168"/>
    <w:rsid w:val="007B0253"/>
    <w:rsid w:val="007B134F"/>
    <w:rsid w:val="007B16B5"/>
    <w:rsid w:val="007B21F8"/>
    <w:rsid w:val="007C16D2"/>
    <w:rsid w:val="007C30C0"/>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270A"/>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338"/>
    <w:rsid w:val="00C207CC"/>
    <w:rsid w:val="00C22067"/>
    <w:rsid w:val="00C23CDF"/>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E2D"/>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A13"/>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1DC9"/>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6920"/>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3008480">
      <w:bodyDiv w:val="1"/>
      <w:marLeft w:val="0"/>
      <w:marRight w:val="0"/>
      <w:marTop w:val="0"/>
      <w:marBottom w:val="0"/>
      <w:divBdr>
        <w:top w:val="none" w:sz="0" w:space="0" w:color="auto"/>
        <w:left w:val="none" w:sz="0" w:space="0" w:color="auto"/>
        <w:bottom w:val="none" w:sz="0" w:space="0" w:color="auto"/>
        <w:right w:val="none" w:sz="0" w:space="0" w:color="auto"/>
      </w:divBdr>
      <w:divsChild>
        <w:div w:id="1467041718">
          <w:marLeft w:val="576"/>
          <w:marRight w:val="0"/>
          <w:marTop w:val="120"/>
          <w:marBottom w:val="0"/>
          <w:divBdr>
            <w:top w:val="none" w:sz="0" w:space="0" w:color="auto"/>
            <w:left w:val="none" w:sz="0" w:space="0" w:color="auto"/>
            <w:bottom w:val="none" w:sz="0" w:space="0" w:color="auto"/>
            <w:right w:val="none" w:sz="0" w:space="0" w:color="auto"/>
          </w:divBdr>
        </w:div>
        <w:div w:id="600375614">
          <w:marLeft w:val="576"/>
          <w:marRight w:val="0"/>
          <w:marTop w:val="120"/>
          <w:marBottom w:val="0"/>
          <w:divBdr>
            <w:top w:val="none" w:sz="0" w:space="0" w:color="auto"/>
            <w:left w:val="none" w:sz="0" w:space="0" w:color="auto"/>
            <w:bottom w:val="none" w:sz="0" w:space="0" w:color="auto"/>
            <w:right w:val="none" w:sz="0" w:space="0" w:color="auto"/>
          </w:divBdr>
        </w:div>
        <w:div w:id="631864798">
          <w:marLeft w:val="576"/>
          <w:marRight w:val="0"/>
          <w:marTop w:val="120"/>
          <w:marBottom w:val="0"/>
          <w:divBdr>
            <w:top w:val="none" w:sz="0" w:space="0" w:color="auto"/>
            <w:left w:val="none" w:sz="0" w:space="0" w:color="auto"/>
            <w:bottom w:val="none" w:sz="0" w:space="0" w:color="auto"/>
            <w:right w:val="none" w:sz="0" w:space="0" w:color="auto"/>
          </w:divBdr>
        </w:div>
        <w:div w:id="133962489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8620772">
      <w:bodyDiv w:val="1"/>
      <w:marLeft w:val="0"/>
      <w:marRight w:val="0"/>
      <w:marTop w:val="0"/>
      <w:marBottom w:val="0"/>
      <w:divBdr>
        <w:top w:val="none" w:sz="0" w:space="0" w:color="auto"/>
        <w:left w:val="none" w:sz="0" w:space="0" w:color="auto"/>
        <w:bottom w:val="none" w:sz="0" w:space="0" w:color="auto"/>
        <w:right w:val="none" w:sz="0" w:space="0" w:color="auto"/>
      </w:divBdr>
      <w:divsChild>
        <w:div w:id="2046517913">
          <w:marLeft w:val="576"/>
          <w:marRight w:val="0"/>
          <w:marTop w:val="120"/>
          <w:marBottom w:val="0"/>
          <w:divBdr>
            <w:top w:val="none" w:sz="0" w:space="0" w:color="auto"/>
            <w:left w:val="none" w:sz="0" w:space="0" w:color="auto"/>
            <w:bottom w:val="none" w:sz="0" w:space="0" w:color="auto"/>
            <w:right w:val="none" w:sz="0" w:space="0" w:color="auto"/>
          </w:divBdr>
        </w:div>
        <w:div w:id="1048066791">
          <w:marLeft w:val="576"/>
          <w:marRight w:val="0"/>
          <w:marTop w:val="120"/>
          <w:marBottom w:val="0"/>
          <w:divBdr>
            <w:top w:val="none" w:sz="0" w:space="0" w:color="auto"/>
            <w:left w:val="none" w:sz="0" w:space="0" w:color="auto"/>
            <w:bottom w:val="none" w:sz="0" w:space="0" w:color="auto"/>
            <w:right w:val="none" w:sz="0" w:space="0" w:color="auto"/>
          </w:divBdr>
        </w:div>
        <w:div w:id="973874953">
          <w:marLeft w:val="576"/>
          <w:marRight w:val="0"/>
          <w:marTop w:val="120"/>
          <w:marBottom w:val="0"/>
          <w:divBdr>
            <w:top w:val="none" w:sz="0" w:space="0" w:color="auto"/>
            <w:left w:val="none" w:sz="0" w:space="0" w:color="auto"/>
            <w:bottom w:val="none" w:sz="0" w:space="0" w:color="auto"/>
            <w:right w:val="none" w:sz="0" w:space="0" w:color="auto"/>
          </w:divBdr>
        </w:div>
        <w:div w:id="571700192">
          <w:marLeft w:val="576"/>
          <w:marRight w:val="0"/>
          <w:marTop w:val="120"/>
          <w:marBottom w:val="0"/>
          <w:divBdr>
            <w:top w:val="none" w:sz="0" w:space="0" w:color="auto"/>
            <w:left w:val="none" w:sz="0" w:space="0" w:color="auto"/>
            <w:bottom w:val="none" w:sz="0" w:space="0" w:color="auto"/>
            <w:right w:val="none" w:sz="0" w:space="0" w:color="auto"/>
          </w:divBdr>
        </w:div>
        <w:div w:id="140220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7953990">
      <w:bodyDiv w:val="1"/>
      <w:marLeft w:val="0"/>
      <w:marRight w:val="0"/>
      <w:marTop w:val="0"/>
      <w:marBottom w:val="0"/>
      <w:divBdr>
        <w:top w:val="none" w:sz="0" w:space="0" w:color="auto"/>
        <w:left w:val="none" w:sz="0" w:space="0" w:color="auto"/>
        <w:bottom w:val="none" w:sz="0" w:space="0" w:color="auto"/>
        <w:right w:val="none" w:sz="0" w:space="0" w:color="auto"/>
      </w:divBdr>
      <w:divsChild>
        <w:div w:id="409010666">
          <w:marLeft w:val="576"/>
          <w:marRight w:val="0"/>
          <w:marTop w:val="120"/>
          <w:marBottom w:val="0"/>
          <w:divBdr>
            <w:top w:val="none" w:sz="0" w:space="0" w:color="auto"/>
            <w:left w:val="none" w:sz="0" w:space="0" w:color="auto"/>
            <w:bottom w:val="none" w:sz="0" w:space="0" w:color="auto"/>
            <w:right w:val="none" w:sz="0" w:space="0" w:color="auto"/>
          </w:divBdr>
        </w:div>
        <w:div w:id="1797529412">
          <w:marLeft w:val="576"/>
          <w:marRight w:val="0"/>
          <w:marTop w:val="120"/>
          <w:marBottom w:val="0"/>
          <w:divBdr>
            <w:top w:val="none" w:sz="0" w:space="0" w:color="auto"/>
            <w:left w:val="none" w:sz="0" w:space="0" w:color="auto"/>
            <w:bottom w:val="none" w:sz="0" w:space="0" w:color="auto"/>
            <w:right w:val="none" w:sz="0" w:space="0" w:color="auto"/>
          </w:divBdr>
        </w:div>
        <w:div w:id="1912615006">
          <w:marLeft w:val="576"/>
          <w:marRight w:val="0"/>
          <w:marTop w:val="120"/>
          <w:marBottom w:val="0"/>
          <w:divBdr>
            <w:top w:val="none" w:sz="0" w:space="0" w:color="auto"/>
            <w:left w:val="none" w:sz="0" w:space="0" w:color="auto"/>
            <w:bottom w:val="none" w:sz="0" w:space="0" w:color="auto"/>
            <w:right w:val="none" w:sz="0" w:space="0" w:color="auto"/>
          </w:divBdr>
        </w:div>
        <w:div w:id="69569437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1145182">
      <w:bodyDiv w:val="1"/>
      <w:marLeft w:val="0"/>
      <w:marRight w:val="0"/>
      <w:marTop w:val="0"/>
      <w:marBottom w:val="0"/>
      <w:divBdr>
        <w:top w:val="none" w:sz="0" w:space="0" w:color="auto"/>
        <w:left w:val="none" w:sz="0" w:space="0" w:color="auto"/>
        <w:bottom w:val="none" w:sz="0" w:space="0" w:color="auto"/>
        <w:right w:val="none" w:sz="0" w:space="0" w:color="auto"/>
      </w:divBdr>
    </w:div>
    <w:div w:id="1196113160">
      <w:bodyDiv w:val="1"/>
      <w:marLeft w:val="0"/>
      <w:marRight w:val="0"/>
      <w:marTop w:val="0"/>
      <w:marBottom w:val="0"/>
      <w:divBdr>
        <w:top w:val="none" w:sz="0" w:space="0" w:color="auto"/>
        <w:left w:val="none" w:sz="0" w:space="0" w:color="auto"/>
        <w:bottom w:val="none" w:sz="0" w:space="0" w:color="auto"/>
        <w:right w:val="none" w:sz="0" w:space="0" w:color="auto"/>
      </w:divBdr>
      <w:divsChild>
        <w:div w:id="750391039">
          <w:marLeft w:val="576"/>
          <w:marRight w:val="0"/>
          <w:marTop w:val="120"/>
          <w:marBottom w:val="0"/>
          <w:divBdr>
            <w:top w:val="none" w:sz="0" w:space="0" w:color="auto"/>
            <w:left w:val="none" w:sz="0" w:space="0" w:color="auto"/>
            <w:bottom w:val="none" w:sz="0" w:space="0" w:color="auto"/>
            <w:right w:val="none" w:sz="0" w:space="0" w:color="auto"/>
          </w:divBdr>
        </w:div>
        <w:div w:id="1281523414">
          <w:marLeft w:val="576"/>
          <w:marRight w:val="0"/>
          <w:marTop w:val="120"/>
          <w:marBottom w:val="0"/>
          <w:divBdr>
            <w:top w:val="none" w:sz="0" w:space="0" w:color="auto"/>
            <w:left w:val="none" w:sz="0" w:space="0" w:color="auto"/>
            <w:bottom w:val="none" w:sz="0" w:space="0" w:color="auto"/>
            <w:right w:val="none" w:sz="0" w:space="0" w:color="auto"/>
          </w:divBdr>
        </w:div>
        <w:div w:id="329984932">
          <w:marLeft w:val="576"/>
          <w:marRight w:val="0"/>
          <w:marTop w:val="120"/>
          <w:marBottom w:val="0"/>
          <w:divBdr>
            <w:top w:val="none" w:sz="0" w:space="0" w:color="auto"/>
            <w:left w:val="none" w:sz="0" w:space="0" w:color="auto"/>
            <w:bottom w:val="none" w:sz="0" w:space="0" w:color="auto"/>
            <w:right w:val="none" w:sz="0" w:space="0" w:color="auto"/>
          </w:divBdr>
        </w:div>
        <w:div w:id="103550102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8808496">
      <w:bodyDiv w:val="1"/>
      <w:marLeft w:val="0"/>
      <w:marRight w:val="0"/>
      <w:marTop w:val="0"/>
      <w:marBottom w:val="0"/>
      <w:divBdr>
        <w:top w:val="none" w:sz="0" w:space="0" w:color="auto"/>
        <w:left w:val="none" w:sz="0" w:space="0" w:color="auto"/>
        <w:bottom w:val="none" w:sz="0" w:space="0" w:color="auto"/>
        <w:right w:val="none" w:sz="0" w:space="0" w:color="auto"/>
      </w:divBdr>
      <w:divsChild>
        <w:div w:id="2099866167">
          <w:marLeft w:val="0"/>
          <w:marRight w:val="0"/>
          <w:marTop w:val="0"/>
          <w:marBottom w:val="0"/>
          <w:divBdr>
            <w:top w:val="none" w:sz="0" w:space="0" w:color="auto"/>
            <w:left w:val="none" w:sz="0" w:space="0" w:color="auto"/>
            <w:bottom w:val="none" w:sz="0" w:space="0" w:color="auto"/>
            <w:right w:val="none" w:sz="0" w:space="0" w:color="auto"/>
          </w:divBdr>
          <w:divsChild>
            <w:div w:id="1003780191">
              <w:marLeft w:val="0"/>
              <w:marRight w:val="0"/>
              <w:marTop w:val="0"/>
              <w:marBottom w:val="0"/>
              <w:divBdr>
                <w:top w:val="none" w:sz="0" w:space="0" w:color="auto"/>
                <w:left w:val="none" w:sz="0" w:space="0" w:color="auto"/>
                <w:bottom w:val="none" w:sz="0" w:space="0" w:color="auto"/>
                <w:right w:val="none" w:sz="0" w:space="0" w:color="auto"/>
              </w:divBdr>
              <w:divsChild>
                <w:div w:id="465052539">
                  <w:marLeft w:val="0"/>
                  <w:marRight w:val="0"/>
                  <w:marTop w:val="0"/>
                  <w:marBottom w:val="0"/>
                  <w:divBdr>
                    <w:top w:val="none" w:sz="0" w:space="0" w:color="auto"/>
                    <w:left w:val="none" w:sz="0" w:space="0" w:color="auto"/>
                    <w:bottom w:val="none" w:sz="0" w:space="0" w:color="auto"/>
                    <w:right w:val="none" w:sz="0" w:space="0" w:color="auto"/>
                  </w:divBdr>
                  <w:divsChild>
                    <w:div w:id="82740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5922469">
      <w:bodyDiv w:val="1"/>
      <w:marLeft w:val="0"/>
      <w:marRight w:val="0"/>
      <w:marTop w:val="0"/>
      <w:marBottom w:val="0"/>
      <w:divBdr>
        <w:top w:val="none" w:sz="0" w:space="0" w:color="auto"/>
        <w:left w:val="none" w:sz="0" w:space="0" w:color="auto"/>
        <w:bottom w:val="none" w:sz="0" w:space="0" w:color="auto"/>
        <w:right w:val="none" w:sz="0" w:space="0" w:color="auto"/>
      </w:divBdr>
      <w:divsChild>
        <w:div w:id="1339234874">
          <w:marLeft w:val="576"/>
          <w:marRight w:val="0"/>
          <w:marTop w:val="120"/>
          <w:marBottom w:val="0"/>
          <w:divBdr>
            <w:top w:val="none" w:sz="0" w:space="0" w:color="auto"/>
            <w:left w:val="none" w:sz="0" w:space="0" w:color="auto"/>
            <w:bottom w:val="none" w:sz="0" w:space="0" w:color="auto"/>
            <w:right w:val="none" w:sz="0" w:space="0" w:color="auto"/>
          </w:divBdr>
        </w:div>
        <w:div w:id="722750298">
          <w:marLeft w:val="576"/>
          <w:marRight w:val="0"/>
          <w:marTop w:val="120"/>
          <w:marBottom w:val="0"/>
          <w:divBdr>
            <w:top w:val="none" w:sz="0" w:space="0" w:color="auto"/>
            <w:left w:val="none" w:sz="0" w:space="0" w:color="auto"/>
            <w:bottom w:val="none" w:sz="0" w:space="0" w:color="auto"/>
            <w:right w:val="none" w:sz="0" w:space="0" w:color="auto"/>
          </w:divBdr>
        </w:div>
        <w:div w:id="1715039525">
          <w:marLeft w:val="576"/>
          <w:marRight w:val="0"/>
          <w:marTop w:val="120"/>
          <w:marBottom w:val="0"/>
          <w:divBdr>
            <w:top w:val="none" w:sz="0" w:space="0" w:color="auto"/>
            <w:left w:val="none" w:sz="0" w:space="0" w:color="auto"/>
            <w:bottom w:val="none" w:sz="0" w:space="0" w:color="auto"/>
            <w:right w:val="none" w:sz="0" w:space="0" w:color="auto"/>
          </w:divBdr>
        </w:div>
      </w:divsChild>
    </w:div>
    <w:div w:id="1560634837">
      <w:bodyDiv w:val="1"/>
      <w:marLeft w:val="0"/>
      <w:marRight w:val="0"/>
      <w:marTop w:val="0"/>
      <w:marBottom w:val="0"/>
      <w:divBdr>
        <w:top w:val="none" w:sz="0" w:space="0" w:color="auto"/>
        <w:left w:val="none" w:sz="0" w:space="0" w:color="auto"/>
        <w:bottom w:val="none" w:sz="0" w:space="0" w:color="auto"/>
        <w:right w:val="none" w:sz="0" w:space="0" w:color="auto"/>
      </w:divBdr>
      <w:divsChild>
        <w:div w:id="1418789330">
          <w:marLeft w:val="576"/>
          <w:marRight w:val="0"/>
          <w:marTop w:val="120"/>
          <w:marBottom w:val="0"/>
          <w:divBdr>
            <w:top w:val="none" w:sz="0" w:space="0" w:color="auto"/>
            <w:left w:val="none" w:sz="0" w:space="0" w:color="auto"/>
            <w:bottom w:val="none" w:sz="0" w:space="0" w:color="auto"/>
            <w:right w:val="none" w:sz="0" w:space="0" w:color="auto"/>
          </w:divBdr>
        </w:div>
        <w:div w:id="1353413460">
          <w:marLeft w:val="576"/>
          <w:marRight w:val="0"/>
          <w:marTop w:val="120"/>
          <w:marBottom w:val="0"/>
          <w:divBdr>
            <w:top w:val="none" w:sz="0" w:space="0" w:color="auto"/>
            <w:left w:val="none" w:sz="0" w:space="0" w:color="auto"/>
            <w:bottom w:val="none" w:sz="0" w:space="0" w:color="auto"/>
            <w:right w:val="none" w:sz="0" w:space="0" w:color="auto"/>
          </w:divBdr>
        </w:div>
        <w:div w:id="1975283118">
          <w:marLeft w:val="576"/>
          <w:marRight w:val="0"/>
          <w:marTop w:val="120"/>
          <w:marBottom w:val="0"/>
          <w:divBdr>
            <w:top w:val="none" w:sz="0" w:space="0" w:color="auto"/>
            <w:left w:val="none" w:sz="0" w:space="0" w:color="auto"/>
            <w:bottom w:val="none" w:sz="0" w:space="0" w:color="auto"/>
            <w:right w:val="none" w:sz="0" w:space="0" w:color="auto"/>
          </w:divBdr>
        </w:div>
        <w:div w:id="1456413368">
          <w:marLeft w:val="576"/>
          <w:marRight w:val="0"/>
          <w:marTop w:val="120"/>
          <w:marBottom w:val="0"/>
          <w:divBdr>
            <w:top w:val="none" w:sz="0" w:space="0" w:color="auto"/>
            <w:left w:val="none" w:sz="0" w:space="0" w:color="auto"/>
            <w:bottom w:val="none" w:sz="0" w:space="0" w:color="auto"/>
            <w:right w:val="none" w:sz="0" w:space="0" w:color="auto"/>
          </w:divBdr>
        </w:div>
        <w:div w:id="49086987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1730</Words>
  <Characters>9863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2021-06-04T14:04:00Z</dcterms:modified>
</cp:coreProperties>
</file>