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92DD7" w:rsidRDefault="00192DD7" w:rsidP="00192DD7">
      <w:pPr>
        <w:spacing w:line="360" w:lineRule="auto"/>
        <w:jc w:val="center"/>
        <w:rPr>
          <w:rFonts w:ascii="Times New Roman" w:hAnsi="Times New Roman" w:cs="Times New Roman"/>
          <w:b/>
          <w:sz w:val="48"/>
          <w:szCs w:val="48"/>
        </w:rPr>
      </w:pPr>
      <w:r w:rsidRPr="00192DD7">
        <w:rPr>
          <w:rFonts w:ascii="Times New Roman" w:hAnsi="Times New Roman" w:cs="Times New Roman"/>
          <w:b/>
          <w:sz w:val="48"/>
          <w:szCs w:val="48"/>
        </w:rPr>
        <w:t>On the Impact of Auto-Correlation of Stochastic Processes on the Transient Behavior of Power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92DD7" w:rsidRDefault="00192DD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B7EA1" w:rsidRPr="00FB7EA1" w:rsidRDefault="00FB7EA1" w:rsidP="00FB7EA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B7EA1">
        <w:rPr>
          <w:rFonts w:ascii="Times New Roman" w:eastAsia="Times New Roman" w:hAnsi="Times New Roman" w:cs="Times New Roman"/>
          <w:color w:val="333333"/>
          <w:sz w:val="32"/>
          <w:szCs w:val="32"/>
          <w:lang w:val="en-IN" w:eastAsia="en-IN" w:bidi="ta-IN"/>
        </w:rPr>
        <w:t>This letter studies the impact of auto-correlation of stochastic processes on the dynamic response of power systems. The frequency spectrum of the trajectories of the state variables of the system is utilized as a metric to evaluate this impact. The case study considers the well- known two-area system as well as with a 1479-bus dynamic model of the all-island Irish transmission system. Simulation results indicate that the auto-correlation have a direct impact on the amplitude of the dominant electro-mechanical modes of the system. Results also show that, for a wide range of the values of the auto-correlation, the impact of stochastic processes on system dynamics is local, affects differently each area of the system and, in some cases, can lead to instability and voltage collapse.</w:t>
      </w:r>
    </w:p>
    <w:p w:rsidR="00845895" w:rsidRPr="00FB7EA1" w:rsidRDefault="00845895" w:rsidP="00E53AA4">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FB7EA1" w:rsidRDefault="00FB7EA1"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678F9" w:rsidRDefault="009F44D1" w:rsidP="00A678F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678F9">
        <w:rPr>
          <w:rFonts w:ascii="Times New Roman" w:hAnsi="Times New Roman" w:cs="Times New Roman"/>
          <w:sz w:val="32"/>
          <w:szCs w:val="32"/>
          <w:lang w:val="en-IN"/>
        </w:rPr>
        <w:t>Using this relationship, we compute the expected waiting time of a newly-arrived customer to begin service; this requires that the existing average n</w:t>
      </w:r>
      <w:r w:rsidRPr="00A678F9">
        <w:rPr>
          <w:rFonts w:ascii="Times New Roman" w:hAnsi="Times New Roman" w:cs="Times New Roman"/>
          <w:sz w:val="32"/>
          <w:szCs w:val="32"/>
          <w:lang w:val="en-IN"/>
        </w:rPr>
        <w:t xml:space="preserve">umber of customers be served. </w:t>
      </w:r>
    </w:p>
    <w:p w:rsidR="00000000" w:rsidRPr="00A678F9" w:rsidRDefault="009F44D1" w:rsidP="00A678F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678F9">
        <w:rPr>
          <w:rFonts w:ascii="Times New Roman" w:hAnsi="Times New Roman" w:cs="Times New Roman"/>
          <w:sz w:val="32"/>
          <w:szCs w:val="32"/>
          <w:lang w:val="en-IN"/>
        </w:rPr>
        <w:t>Thus, the waiting time for service is computed as the product of the average number of customers in the system times the average departure time per customer.</w:t>
      </w:r>
    </w:p>
    <w:p w:rsidR="00000000" w:rsidRPr="00A678F9" w:rsidRDefault="009F44D1" w:rsidP="00A678F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678F9">
        <w:rPr>
          <w:rFonts w:ascii="Times New Roman" w:hAnsi="Times New Roman" w:cs="Times New Roman"/>
          <w:sz w:val="32"/>
          <w:szCs w:val="32"/>
          <w:lang w:val="en-IN"/>
        </w:rPr>
        <w:t>While in some cases such processes are local and independent, the</w:t>
      </w:r>
      <w:r w:rsidRPr="00A678F9">
        <w:rPr>
          <w:rFonts w:ascii="Times New Roman" w:hAnsi="Times New Roman" w:cs="Times New Roman"/>
          <w:sz w:val="32"/>
          <w:szCs w:val="32"/>
          <w:lang w:val="en-IN"/>
        </w:rPr>
        <w:t xml:space="preserve">re exist processes that are intrinsically correlated. For example, in most locations, cloudy days tend to be more windy than clear-sky ones. </w:t>
      </w:r>
    </w:p>
    <w:p w:rsidR="00000000" w:rsidRPr="00A678F9" w:rsidRDefault="009F44D1" w:rsidP="00A678F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678F9">
        <w:rPr>
          <w:rFonts w:ascii="Times New Roman" w:hAnsi="Times New Roman" w:cs="Times New Roman"/>
          <w:sz w:val="32"/>
          <w:szCs w:val="32"/>
          <w:lang w:val="en-IN"/>
        </w:rPr>
        <w:t>Then the variations of the active and reactive power consumption of loads are coupled if the loads have a constan</w:t>
      </w:r>
      <w:r w:rsidRPr="00A678F9">
        <w:rPr>
          <w:rFonts w:ascii="Times New Roman" w:hAnsi="Times New Roman" w:cs="Times New Roman"/>
          <w:sz w:val="32"/>
          <w:szCs w:val="32"/>
          <w:lang w:val="en-IN"/>
        </w:rPr>
        <w:t xml:space="preserve">t power factor.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678F9" w:rsidRDefault="009F44D1" w:rsidP="00A678F9">
      <w:pPr>
        <w:numPr>
          <w:ilvl w:val="0"/>
          <w:numId w:val="45"/>
        </w:numPr>
        <w:spacing w:line="360" w:lineRule="auto"/>
        <w:jc w:val="both"/>
        <w:rPr>
          <w:rFonts w:ascii="Times New Roman" w:hAnsi="Times New Roman" w:cs="Times New Roman"/>
          <w:bCs/>
          <w:sz w:val="32"/>
          <w:szCs w:val="32"/>
          <w:lang w:val="en-IN"/>
        </w:rPr>
      </w:pPr>
      <w:r w:rsidRPr="00A678F9">
        <w:rPr>
          <w:rFonts w:ascii="Times New Roman" w:hAnsi="Times New Roman" w:cs="Times New Roman"/>
          <w:bCs/>
          <w:sz w:val="32"/>
          <w:szCs w:val="32"/>
          <w:lang w:val="en-IN"/>
        </w:rPr>
        <w:t>Potential dangerous impacts which are intuitive to utilities are line congestion, transformer overloads and other not foreseen problems at the different grid levels, but mainly in distribution grids.</w:t>
      </w:r>
    </w:p>
    <w:p w:rsidR="00000000" w:rsidRPr="00A678F9" w:rsidRDefault="009F44D1" w:rsidP="00A678F9">
      <w:pPr>
        <w:numPr>
          <w:ilvl w:val="0"/>
          <w:numId w:val="45"/>
        </w:numPr>
        <w:spacing w:line="360" w:lineRule="auto"/>
        <w:jc w:val="both"/>
        <w:rPr>
          <w:rFonts w:ascii="Times New Roman" w:hAnsi="Times New Roman" w:cs="Times New Roman"/>
          <w:bCs/>
          <w:sz w:val="32"/>
          <w:szCs w:val="32"/>
          <w:lang w:val="en-IN"/>
        </w:rPr>
      </w:pPr>
      <w:r w:rsidRPr="00A678F9">
        <w:rPr>
          <w:rFonts w:ascii="Times New Roman" w:hAnsi="Times New Roman" w:cs="Times New Roman"/>
          <w:bCs/>
          <w:sz w:val="32"/>
          <w:szCs w:val="32"/>
          <w:lang w:val="en-IN"/>
        </w:rPr>
        <w:t xml:space="preserve">Faced </w:t>
      </w:r>
      <w:r w:rsidRPr="00A678F9">
        <w:rPr>
          <w:rFonts w:ascii="Times New Roman" w:hAnsi="Times New Roman" w:cs="Times New Roman"/>
          <w:bCs/>
          <w:sz w:val="32"/>
          <w:szCs w:val="32"/>
          <w:lang w:val="en-IN"/>
        </w:rPr>
        <w:t>with the growing complexity of the future power grid and the stochastic disturbances caused by renewable energy sources such as PHEVS, wind and solar power, this dissertation deals with the issue of the stability of the power system and has presented contr</w:t>
      </w:r>
      <w:r w:rsidRPr="00A678F9">
        <w:rPr>
          <w:rFonts w:ascii="Times New Roman" w:hAnsi="Times New Roman" w:cs="Times New Roman"/>
          <w:bCs/>
          <w:sz w:val="32"/>
          <w:szCs w:val="32"/>
          <w:lang w:val="en-IN"/>
        </w:rPr>
        <w:t>ibutions in the tools developed and analysis carried out to examine the stability of the power system when stochastic loads and generations are present.</w:t>
      </w:r>
    </w:p>
    <w:p w:rsidR="00000000" w:rsidRPr="00A678F9" w:rsidRDefault="009F44D1" w:rsidP="00A678F9">
      <w:pPr>
        <w:numPr>
          <w:ilvl w:val="0"/>
          <w:numId w:val="45"/>
        </w:numPr>
        <w:spacing w:line="360" w:lineRule="auto"/>
        <w:jc w:val="both"/>
        <w:rPr>
          <w:rFonts w:ascii="Times New Roman" w:hAnsi="Times New Roman" w:cs="Times New Roman"/>
          <w:bCs/>
          <w:sz w:val="32"/>
          <w:szCs w:val="32"/>
          <w:lang w:val="en-IN"/>
        </w:rPr>
      </w:pPr>
      <w:r w:rsidRPr="00A678F9">
        <w:rPr>
          <w:rFonts w:ascii="Times New Roman" w:hAnsi="Times New Roman" w:cs="Times New Roman"/>
          <w:bCs/>
          <w:sz w:val="32"/>
          <w:szCs w:val="32"/>
          <w:lang w:val="en-IN"/>
        </w:rPr>
        <w:lastRenderedPageBreak/>
        <w:t>Depending on when and where the vehicles are plugged in, they could cause local or regional constraint</w:t>
      </w:r>
      <w:r w:rsidRPr="00A678F9">
        <w:rPr>
          <w:rFonts w:ascii="Times New Roman" w:hAnsi="Times New Roman" w:cs="Times New Roman"/>
          <w:bCs/>
          <w:sz w:val="32"/>
          <w:szCs w:val="32"/>
          <w:lang w:val="en-IN"/>
        </w:rPr>
        <w:t xml:space="preserve">s on the </w:t>
      </w:r>
      <w:r w:rsidRPr="00A678F9">
        <w:rPr>
          <w:rFonts w:ascii="Times New Roman" w:hAnsi="Times New Roman" w:cs="Times New Roman"/>
          <w:bCs/>
          <w:sz w:val="32"/>
          <w:szCs w:val="32"/>
          <w:lang w:val="en-IN"/>
        </w:rPr>
        <w:t>g</w:t>
      </w:r>
      <w:r w:rsidRPr="00A678F9">
        <w:rPr>
          <w:rFonts w:ascii="Times New Roman" w:hAnsi="Times New Roman" w:cs="Times New Roman"/>
          <w:bCs/>
          <w:sz w:val="32"/>
          <w:szCs w:val="32"/>
          <w:lang w:val="en-IN"/>
        </w:rPr>
        <w:t>r</w:t>
      </w:r>
      <w:r w:rsidRPr="00A678F9">
        <w:rPr>
          <w:rFonts w:ascii="Times New Roman" w:hAnsi="Times New Roman" w:cs="Times New Roman"/>
          <w:bCs/>
          <w:sz w:val="32"/>
          <w:szCs w:val="32"/>
          <w:lang w:val="en-IN"/>
        </w:rPr>
        <w:t>i</w:t>
      </w:r>
      <w:r w:rsidRPr="00A678F9">
        <w:rPr>
          <w:rFonts w:ascii="Times New Roman" w:hAnsi="Times New Roman" w:cs="Times New Roman"/>
          <w:bCs/>
          <w:sz w:val="32"/>
          <w:szCs w:val="32"/>
          <w:lang w:val="en-IN"/>
        </w:rPr>
        <w:t>d</w:t>
      </w:r>
      <w:r w:rsidRPr="00A678F9">
        <w:rPr>
          <w:rFonts w:ascii="Times New Roman" w:hAnsi="Times New Roman" w:cs="Times New Roman"/>
          <w:bCs/>
          <w:sz w:val="32"/>
          <w:szCs w:val="32"/>
        </w:rPr>
        <w:t xml:space="preserve"> </w:t>
      </w:r>
    </w:p>
    <w:p w:rsidR="000B33B0" w:rsidRPr="00A678F9" w:rsidRDefault="006A300A" w:rsidP="00A678F9">
      <w:pPr>
        <w:spacing w:line="360" w:lineRule="auto"/>
        <w:jc w:val="both"/>
        <w:rPr>
          <w:rFonts w:ascii="Times New Roman" w:eastAsia="Times New Roman" w:hAnsi="Times New Roman" w:cs="Times New Roman"/>
          <w:sz w:val="32"/>
          <w:szCs w:val="32"/>
        </w:rPr>
      </w:pPr>
      <w:r w:rsidRPr="00A678F9">
        <w:rPr>
          <w:rFonts w:ascii="Times New Roman" w:hAnsi="Times New Roman" w:cs="Times New Roman"/>
          <w:b/>
          <w:sz w:val="36"/>
          <w:szCs w:val="36"/>
        </w:rPr>
        <w:t xml:space="preserve">2.2. PROPOSED </w:t>
      </w:r>
      <w:r w:rsidR="000B33B0" w:rsidRPr="00A678F9">
        <w:rPr>
          <w:rFonts w:ascii="Times New Roman" w:hAnsi="Times New Roman" w:cs="Times New Roman"/>
          <w:b/>
          <w:sz w:val="36"/>
          <w:szCs w:val="36"/>
        </w:rPr>
        <w:t xml:space="preserve">SYSTEM </w:t>
      </w:r>
    </w:p>
    <w:p w:rsidR="00A678F9" w:rsidRPr="00A678F9" w:rsidRDefault="00A678F9" w:rsidP="00A678F9">
      <w:pPr>
        <w:pStyle w:val="NormalWeb"/>
        <w:numPr>
          <w:ilvl w:val="0"/>
          <w:numId w:val="46"/>
        </w:numPr>
        <w:spacing w:before="0" w:beforeAutospacing="0" w:after="0" w:afterAutospacing="0" w:line="360" w:lineRule="auto"/>
        <w:ind w:left="426" w:hanging="142"/>
        <w:jc w:val="both"/>
        <w:rPr>
          <w:sz w:val="32"/>
          <w:szCs w:val="32"/>
        </w:rPr>
      </w:pPr>
      <w:r w:rsidRPr="00A678F9">
        <w:rPr>
          <w:sz w:val="32"/>
          <w:szCs w:val="32"/>
        </w:rPr>
        <w:t>It is important to note that the proposed model can be applied to systems of any order and complexity without the need of any simplifications or assumptions in the original model.</w:t>
      </w:r>
    </w:p>
    <w:p w:rsidR="00A678F9" w:rsidRPr="00A678F9" w:rsidRDefault="00A678F9" w:rsidP="00A678F9">
      <w:pPr>
        <w:pStyle w:val="NormalWeb"/>
        <w:numPr>
          <w:ilvl w:val="0"/>
          <w:numId w:val="46"/>
        </w:numPr>
        <w:spacing w:before="0" w:beforeAutospacing="0" w:after="0" w:afterAutospacing="0" w:line="360" w:lineRule="auto"/>
        <w:ind w:left="426" w:hanging="142"/>
        <w:jc w:val="both"/>
        <w:rPr>
          <w:sz w:val="32"/>
          <w:szCs w:val="32"/>
        </w:rPr>
      </w:pPr>
      <w:r w:rsidRPr="00A678F9">
        <w:rPr>
          <w:sz w:val="32"/>
          <w:szCs w:val="32"/>
        </w:rPr>
        <w:t>The proposed approach to model correlated SDEs using correlated Wiener processes is presented in describes how to include correlated stochastic processes in power systems.</w:t>
      </w:r>
    </w:p>
    <w:p w:rsidR="00A678F9" w:rsidRPr="00A678F9" w:rsidRDefault="00A678F9" w:rsidP="00A678F9">
      <w:pPr>
        <w:pStyle w:val="NormalWeb"/>
        <w:numPr>
          <w:ilvl w:val="0"/>
          <w:numId w:val="46"/>
        </w:numPr>
        <w:spacing w:before="0" w:beforeAutospacing="0" w:after="0" w:afterAutospacing="0" w:line="360" w:lineRule="auto"/>
        <w:ind w:left="426" w:hanging="142"/>
        <w:jc w:val="both"/>
        <w:rPr>
          <w:sz w:val="32"/>
          <w:szCs w:val="32"/>
        </w:rPr>
      </w:pPr>
      <w:r w:rsidRPr="00A678F9">
        <w:rPr>
          <w:sz w:val="32"/>
          <w:szCs w:val="32"/>
        </w:rPr>
        <w:t xml:space="preserve">After that, the model proposed in this paper is capable or generating synthetic noise with the same statistical properties and same correlation. </w:t>
      </w:r>
    </w:p>
    <w:p w:rsidR="00BB3207" w:rsidRDefault="00A678F9" w:rsidP="00A678F9">
      <w:pPr>
        <w:pStyle w:val="NormalWeb"/>
        <w:numPr>
          <w:ilvl w:val="0"/>
          <w:numId w:val="46"/>
        </w:numPr>
        <w:spacing w:before="0" w:beforeAutospacing="0" w:after="0" w:afterAutospacing="0" w:line="360" w:lineRule="auto"/>
        <w:ind w:left="426" w:hanging="142"/>
        <w:jc w:val="both"/>
        <w:rPr>
          <w:sz w:val="32"/>
          <w:szCs w:val="32"/>
        </w:rPr>
      </w:pPr>
      <w:r w:rsidRPr="00A678F9">
        <w:rPr>
          <w:sz w:val="32"/>
          <w:szCs w:val="32"/>
        </w:rPr>
        <w:t>The proposed approach, thus, does not need to be continuously fed with measurement data. This is, in turn, one of the practical advantages of the proposed method.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678F9" w:rsidRDefault="009F44D1" w:rsidP="00A67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78F9">
        <w:rPr>
          <w:rFonts w:ascii="Times New Roman" w:eastAsia="AdvGulliv-R" w:hAnsi="Times New Roman" w:cs="Times New Roman"/>
          <w:bCs/>
          <w:sz w:val="32"/>
          <w:szCs w:val="32"/>
          <w:lang w:val="en-IN"/>
        </w:rPr>
        <w:t xml:space="preserve">The traditional approach to power system stability studies is based on a deterministic transient energy function. </w:t>
      </w:r>
    </w:p>
    <w:p w:rsidR="00000000" w:rsidRPr="00A678F9" w:rsidRDefault="009F44D1" w:rsidP="00A67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78F9">
        <w:rPr>
          <w:rFonts w:ascii="Times New Roman" w:eastAsia="AdvGulliv-R" w:hAnsi="Times New Roman" w:cs="Times New Roman"/>
          <w:bCs/>
          <w:sz w:val="32"/>
          <w:szCs w:val="32"/>
          <w:lang w:val="en-IN"/>
        </w:rPr>
        <w:t>However, such a deter</w:t>
      </w:r>
      <w:r w:rsidRPr="00A678F9">
        <w:rPr>
          <w:rFonts w:ascii="Times New Roman" w:eastAsia="AdvGulliv-R" w:hAnsi="Times New Roman" w:cs="Times New Roman"/>
          <w:bCs/>
          <w:sz w:val="32"/>
          <w:szCs w:val="32"/>
          <w:lang w:val="en-IN"/>
        </w:rPr>
        <w:t>ministic analysis does not provide a realistic evaluation of system transient performance where the intermittency and variability of energy production associated with any renewable technology needs to be reflected and accurately modeled in system stability</w:t>
      </w:r>
      <w:r w:rsidRPr="00A678F9">
        <w:rPr>
          <w:rFonts w:ascii="Times New Roman" w:eastAsia="AdvGulliv-R" w:hAnsi="Times New Roman" w:cs="Times New Roman"/>
          <w:bCs/>
          <w:sz w:val="32"/>
          <w:szCs w:val="32"/>
          <w:lang w:val="en-IN"/>
        </w:rPr>
        <w:t xml:space="preserve"> and performance assessments.</w:t>
      </w:r>
    </w:p>
    <w:p w:rsidR="00000000" w:rsidRPr="00A678F9" w:rsidRDefault="009F44D1" w:rsidP="00A67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78F9">
        <w:rPr>
          <w:rFonts w:ascii="Times New Roman" w:eastAsia="AdvGulliv-R" w:hAnsi="Times New Roman" w:cs="Times New Roman"/>
          <w:bCs/>
          <w:sz w:val="32"/>
          <w:szCs w:val="32"/>
          <w:lang w:val="en-IN"/>
        </w:rPr>
        <w:lastRenderedPageBreak/>
        <w:t>Electric motors are inherently more efficient than internal combustion engines; they do not consume energy while vehicles are stationary and they provide the opportunity to recover energy from braking.</w:t>
      </w:r>
    </w:p>
    <w:p w:rsidR="00000000" w:rsidRPr="00A678F9" w:rsidRDefault="009F44D1" w:rsidP="00A67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78F9">
        <w:rPr>
          <w:rFonts w:ascii="Times New Roman" w:eastAsia="AdvGulliv-R" w:hAnsi="Times New Roman" w:cs="Times New Roman"/>
          <w:bCs/>
          <w:sz w:val="32"/>
          <w:szCs w:val="32"/>
          <w:lang w:val="en-IN"/>
        </w:rPr>
        <w:t>Out of this ambience t</w:t>
      </w:r>
      <w:r w:rsidRPr="00A678F9">
        <w:rPr>
          <w:rFonts w:ascii="Times New Roman" w:eastAsia="AdvGulliv-R" w:hAnsi="Times New Roman" w:cs="Times New Roman"/>
          <w:bCs/>
          <w:sz w:val="32"/>
          <w:szCs w:val="32"/>
          <w:lang w:val="en-IN"/>
        </w:rPr>
        <w:t>he promise for more efficient individual transportation is partly represented by PHEVs, mitigating vehicle technology to an increased electrification.</w:t>
      </w:r>
      <w:r w:rsidRPr="00A678F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B710C" w:rsidRDefault="000409CB"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t>Probabilistic constrained load flow considering integration of wind power generation and electric vehicles</w:t>
            </w:r>
          </w:p>
        </w:tc>
        <w:tc>
          <w:tcPr>
            <w:tcW w:w="3192" w:type="dxa"/>
          </w:tcPr>
          <w:p w:rsidR="000C407B" w:rsidRPr="002B710C" w:rsidRDefault="000409CB" w:rsidP="000409CB">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t xml:space="preserve">J. G. Vlachogiannis, </w:t>
            </w:r>
          </w:p>
        </w:tc>
        <w:tc>
          <w:tcPr>
            <w:tcW w:w="3192" w:type="dxa"/>
          </w:tcPr>
          <w:p w:rsidR="000C407B" w:rsidRPr="002B710C" w:rsidRDefault="000409CB"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color w:val="333333"/>
                <w:sz w:val="28"/>
                <w:szCs w:val="28"/>
                <w:shd w:val="clear" w:color="auto" w:fill="FFFFFF"/>
              </w:rPr>
              <w:t>The developed stochastic model of EV demand/supply and the wind power generation model are incorporated into load flow studies</w:t>
            </w:r>
          </w:p>
        </w:tc>
      </w:tr>
      <w:tr w:rsidR="000C407B" w:rsidTr="000C407B">
        <w:trPr>
          <w:trHeight w:val="2942"/>
        </w:trPr>
        <w:tc>
          <w:tcPr>
            <w:tcW w:w="3192" w:type="dxa"/>
          </w:tcPr>
          <w:p w:rsidR="000C407B" w:rsidRPr="002B710C" w:rsidRDefault="000409CB"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t>Probabilistic load modeling for power system expansion planning</w:t>
            </w:r>
          </w:p>
        </w:tc>
        <w:tc>
          <w:tcPr>
            <w:tcW w:w="3192" w:type="dxa"/>
          </w:tcPr>
          <w:p w:rsidR="000C407B" w:rsidRPr="002B710C" w:rsidRDefault="000409CB" w:rsidP="000409CB">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t xml:space="preserve">M. B. Do Coutto Filho, A. M. Leite Da Silva, V. L. Arienti, S. M. P. Ribeiro, </w:t>
            </w:r>
          </w:p>
        </w:tc>
        <w:tc>
          <w:tcPr>
            <w:tcW w:w="3192" w:type="dxa"/>
          </w:tcPr>
          <w:p w:rsidR="000C407B" w:rsidRPr="002B710C" w:rsidRDefault="000409CB"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color w:val="333333"/>
                <w:sz w:val="28"/>
                <w:szCs w:val="28"/>
                <w:shd w:val="clear" w:color="auto" w:fill="FFFFFF"/>
              </w:rPr>
              <w:t>The proposed TEP model can find the optimal trade-off between transmission investment and demand response expenses.</w:t>
            </w:r>
          </w:p>
        </w:tc>
      </w:tr>
      <w:tr w:rsidR="000C407B" w:rsidTr="000C407B">
        <w:tc>
          <w:tcPr>
            <w:tcW w:w="3192" w:type="dxa"/>
          </w:tcPr>
          <w:p w:rsidR="000C407B" w:rsidRPr="002B710C" w:rsidRDefault="00145B1F"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t>A Stochastic approach to small disturbance stability analysis</w:t>
            </w:r>
          </w:p>
        </w:tc>
        <w:tc>
          <w:tcPr>
            <w:tcW w:w="3192" w:type="dxa"/>
          </w:tcPr>
          <w:p w:rsidR="000C407B" w:rsidRPr="002B710C" w:rsidRDefault="00145B1F" w:rsidP="00145B1F">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t xml:space="preserve">C. O. Nwankpa, S. M. Shahidehpour, Z. Schuss, </w:t>
            </w:r>
          </w:p>
        </w:tc>
        <w:tc>
          <w:tcPr>
            <w:tcW w:w="3192" w:type="dxa"/>
          </w:tcPr>
          <w:p w:rsidR="000C407B" w:rsidRPr="002B710C" w:rsidRDefault="00145B1F"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color w:val="333333"/>
                <w:sz w:val="28"/>
                <w:szCs w:val="28"/>
                <w:shd w:val="clear" w:color="auto" w:fill="FFFFFF"/>
              </w:rPr>
              <w:t xml:space="preserve">A systematic approach to the construction of stochastic models of electric power systems for small disturbance stability </w:t>
            </w:r>
            <w:r w:rsidRPr="002B710C">
              <w:rPr>
                <w:rFonts w:ascii="Times New Roman" w:hAnsi="Times New Roman" w:cs="Times New Roman"/>
                <w:color w:val="333333"/>
                <w:sz w:val="28"/>
                <w:szCs w:val="28"/>
                <w:shd w:val="clear" w:color="auto" w:fill="FFFFFF"/>
              </w:rPr>
              <w:lastRenderedPageBreak/>
              <w:t>analysis is presented.</w:t>
            </w:r>
          </w:p>
        </w:tc>
      </w:tr>
      <w:tr w:rsidR="000C407B" w:rsidTr="000C407B">
        <w:tc>
          <w:tcPr>
            <w:tcW w:w="3192" w:type="dxa"/>
          </w:tcPr>
          <w:p w:rsidR="000C407B" w:rsidRPr="002B710C" w:rsidRDefault="00145B1F"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lastRenderedPageBreak/>
              <w:t>Probabilistic assessment of transient stability in a practical multimachine system</w:t>
            </w:r>
          </w:p>
        </w:tc>
        <w:tc>
          <w:tcPr>
            <w:tcW w:w="3192" w:type="dxa"/>
          </w:tcPr>
          <w:p w:rsidR="000C407B" w:rsidRPr="002B710C" w:rsidRDefault="00145B1F" w:rsidP="00145B1F">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sz w:val="28"/>
                <w:szCs w:val="28"/>
              </w:rPr>
              <w:t xml:space="preserve">R. Billinton and P. R. S. Kuruganty, </w:t>
            </w:r>
          </w:p>
        </w:tc>
        <w:tc>
          <w:tcPr>
            <w:tcW w:w="3192" w:type="dxa"/>
          </w:tcPr>
          <w:p w:rsidR="000C407B" w:rsidRPr="002B710C" w:rsidRDefault="00145B1F" w:rsidP="00E53AA4">
            <w:pPr>
              <w:tabs>
                <w:tab w:val="left" w:pos="720"/>
              </w:tabs>
              <w:spacing w:after="100" w:line="360" w:lineRule="auto"/>
              <w:jc w:val="both"/>
              <w:rPr>
                <w:rFonts w:ascii="Times New Roman" w:hAnsi="Times New Roman" w:cs="Times New Roman"/>
                <w:sz w:val="28"/>
                <w:szCs w:val="28"/>
              </w:rPr>
            </w:pPr>
            <w:r w:rsidRPr="002B710C">
              <w:rPr>
                <w:rFonts w:ascii="Times New Roman" w:hAnsi="Times New Roman" w:cs="Times New Roman"/>
                <w:color w:val="333333"/>
                <w:sz w:val="28"/>
                <w:szCs w:val="28"/>
                <w:shd w:val="clear" w:color="auto" w:fill="FFFFFF"/>
              </w:rPr>
              <w:t>The application of probabilistic techniques in the quantitative evaluation of power system reliability is steadily increasing.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FB7EA1" w:rsidRPr="00FB7EA1" w:rsidRDefault="00FB7EA1" w:rsidP="00FB7EA1"/>
    <w:p w:rsidR="00305BF0" w:rsidRPr="00D81E16" w:rsidRDefault="00305BF0" w:rsidP="00FB7EA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B7EA1" w:rsidRDefault="00405E73" w:rsidP="00E53AA4">
      <w:pPr>
        <w:spacing w:after="0" w:line="360" w:lineRule="auto"/>
        <w:jc w:val="both"/>
        <w:rPr>
          <w:rFonts w:ascii="Times New Roman" w:hAnsi="Times New Roman" w:cs="Times New Roman"/>
          <w:b/>
          <w:sz w:val="40"/>
          <w:szCs w:val="40"/>
        </w:rPr>
      </w:pPr>
      <w:r w:rsidRPr="00FB7EA1">
        <w:rPr>
          <w:rFonts w:ascii="Times New Roman" w:hAnsi="Times New Roman" w:cs="Times New Roman"/>
          <w:b/>
          <w:sz w:val="40"/>
          <w:szCs w:val="40"/>
        </w:rPr>
        <w:t>SYSTEM ARCHICTURE</w:t>
      </w:r>
    </w:p>
    <w:p w:rsidR="00D81E16" w:rsidRDefault="004C1F41" w:rsidP="00E53AA4">
      <w:pPr>
        <w:spacing w:after="0" w:line="360" w:lineRule="auto"/>
        <w:jc w:val="both"/>
        <w:rPr>
          <w:rFonts w:ascii="Times New Roman" w:hAnsi="Times New Roman" w:cs="Times New Roman"/>
        </w:rPr>
      </w:pPr>
      <w:r w:rsidRPr="004C1F41">
        <w:rPr>
          <w:rFonts w:ascii="Times New Roman" w:hAnsi="Times New Roman" w:cs="Times New Roman"/>
        </w:rPr>
        <w:drawing>
          <wp:inline distT="0" distB="0" distL="0" distR="0">
            <wp:extent cx="5940291" cy="4381500"/>
            <wp:effectExtent l="19050" t="0" r="3309" b="0"/>
            <wp:docPr id="2" name="Picture 1" descr="C:\Users\ELCOT-Lenovo\Desktop\energies-11-00678-g005a.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energies-11-00678-g005a.png"/>
                    <pic:cNvPicPr>
                      <a:picLocks noGrp="1" noChangeAspect="1" noChangeArrowheads="1"/>
                    </pic:cNvPicPr>
                  </pic:nvPicPr>
                  <pic:blipFill>
                    <a:blip r:embed="rId8"/>
                    <a:srcRect/>
                    <a:stretch>
                      <a:fillRect/>
                    </a:stretch>
                  </pic:blipFill>
                  <pic:spPr bwMode="auto">
                    <a:xfrm>
                      <a:off x="0" y="0"/>
                      <a:ext cx="5943600" cy="438394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FB7EA1">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4C1F41"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4C1F41" w:rsidRDefault="004C1F4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15B5A" w:rsidRPr="00315B5A" w:rsidRDefault="00315B5A" w:rsidP="00315B5A">
      <w:pPr>
        <w:pStyle w:val="BodyText"/>
        <w:rPr>
          <w:bCs/>
          <w:iCs/>
          <w:sz w:val="32"/>
          <w:szCs w:val="32"/>
          <w:lang w:val="en-IN"/>
        </w:rPr>
      </w:pPr>
      <w:r w:rsidRPr="00315B5A">
        <w:rPr>
          <w:bCs/>
          <w:iCs/>
          <w:sz w:val="32"/>
          <w:szCs w:val="32"/>
          <w:lang w:val="en-IN"/>
        </w:rPr>
        <w:t xml:space="preserve">     This paper develops an approach to analyze the impact of random load and generation variations on the transient stability of a power system. The well-known energy function method for power system transient stability is used as a basis to explore the stochastic power system stability through a stochastic Lyapunov stability analysis. Further, the method was extended numerically using the Euler-Maruyama method. It was shown that increasing either (or both) the variance and the magnitude of the applied variation can have a destabilizing effect on the power system. This could potentially cause difficulties as more randomness is introduced into the power system through renewable energy sources and plug-in-hybrid vehicles.</w:t>
      </w:r>
      <w:r w:rsidRPr="00315B5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15B5A" w:rsidRDefault="00315B5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15B5A" w:rsidRDefault="009F44D1" w:rsidP="00315B5A">
      <w:pPr>
        <w:pStyle w:val="BodyText"/>
        <w:numPr>
          <w:ilvl w:val="0"/>
          <w:numId w:val="42"/>
        </w:numPr>
        <w:rPr>
          <w:sz w:val="32"/>
          <w:szCs w:val="32"/>
          <w:lang w:val="en-IN"/>
        </w:rPr>
      </w:pPr>
      <w:r w:rsidRPr="00315B5A">
        <w:rPr>
          <w:sz w:val="32"/>
          <w:szCs w:val="32"/>
          <w:lang w:val="en-IN"/>
        </w:rPr>
        <w:t xml:space="preserve">[1] J. G. Vlachogiannis, “Probabilistic constrained load flow considering integration of wind power generation and electric vehicles,” IEEE Trans. on Power Systems, vol. 24, no. 4, Nov. 2009. </w:t>
      </w:r>
    </w:p>
    <w:p w:rsidR="00000000" w:rsidRPr="00315B5A" w:rsidRDefault="009F44D1" w:rsidP="00315B5A">
      <w:pPr>
        <w:pStyle w:val="BodyText"/>
        <w:numPr>
          <w:ilvl w:val="0"/>
          <w:numId w:val="42"/>
        </w:numPr>
        <w:rPr>
          <w:sz w:val="32"/>
          <w:szCs w:val="32"/>
          <w:lang w:val="en-IN"/>
        </w:rPr>
      </w:pPr>
      <w:r w:rsidRPr="00315B5A">
        <w:rPr>
          <w:sz w:val="32"/>
          <w:szCs w:val="32"/>
          <w:lang w:val="en-IN"/>
        </w:rPr>
        <w:t>[2] M. Meldorf, T. That, J. Kilter, Stocha</w:t>
      </w:r>
      <w:r w:rsidRPr="00315B5A">
        <w:rPr>
          <w:sz w:val="32"/>
          <w:szCs w:val="32"/>
          <w:lang w:val="en-IN"/>
        </w:rPr>
        <w:t xml:space="preserve">sticity of the Electrical Network Load, Estonian Academy Publishers, 2007. </w:t>
      </w:r>
    </w:p>
    <w:p w:rsidR="00000000" w:rsidRPr="00315B5A" w:rsidRDefault="009F44D1" w:rsidP="00315B5A">
      <w:pPr>
        <w:pStyle w:val="BodyText"/>
        <w:numPr>
          <w:ilvl w:val="0"/>
          <w:numId w:val="42"/>
        </w:numPr>
        <w:rPr>
          <w:sz w:val="32"/>
          <w:szCs w:val="32"/>
          <w:lang w:val="en-IN"/>
        </w:rPr>
      </w:pPr>
      <w:r w:rsidRPr="00315B5A">
        <w:rPr>
          <w:sz w:val="32"/>
          <w:szCs w:val="32"/>
          <w:lang w:val="en-IN"/>
        </w:rPr>
        <w:t>[3] M. B. Do Coutto Filho, A. M. Leite Da Silva, V. L. Arienti, S. M. P. Ribeiro, “Probabilistic load modeling for power system expansion planning,” IEE Third International Confer</w:t>
      </w:r>
      <w:r w:rsidRPr="00315B5A">
        <w:rPr>
          <w:sz w:val="32"/>
          <w:szCs w:val="32"/>
          <w:lang w:val="en-IN"/>
        </w:rPr>
        <w:t xml:space="preserve">ence of Probabilistic Methods Applied to Electric Power Systems, 1991. </w:t>
      </w:r>
    </w:p>
    <w:p w:rsidR="00000000" w:rsidRPr="00315B5A" w:rsidRDefault="009F44D1" w:rsidP="00315B5A">
      <w:pPr>
        <w:pStyle w:val="BodyText"/>
        <w:numPr>
          <w:ilvl w:val="0"/>
          <w:numId w:val="42"/>
        </w:numPr>
        <w:rPr>
          <w:sz w:val="32"/>
          <w:szCs w:val="32"/>
          <w:lang w:val="en-IN"/>
        </w:rPr>
      </w:pPr>
      <w:r w:rsidRPr="00315B5A">
        <w:rPr>
          <w:sz w:val="32"/>
          <w:szCs w:val="32"/>
          <w:lang w:val="en-IN"/>
        </w:rPr>
        <w:t xml:space="preserve">[4] C. O. Nwankpa, S. M. Shahidehpour, Z. Schuss, “A Stochastic approach to small disturbance stability analysis,” IEEE Transactions on Power Systems, vol. 7, no. 4, November 1992. </w:t>
      </w:r>
    </w:p>
    <w:p w:rsidR="00000000" w:rsidRPr="00315B5A" w:rsidRDefault="009F44D1" w:rsidP="00315B5A">
      <w:pPr>
        <w:pStyle w:val="BodyText"/>
        <w:numPr>
          <w:ilvl w:val="0"/>
          <w:numId w:val="42"/>
        </w:numPr>
        <w:rPr>
          <w:sz w:val="32"/>
          <w:szCs w:val="32"/>
          <w:lang w:val="en-IN"/>
        </w:rPr>
      </w:pPr>
      <w:r w:rsidRPr="00315B5A">
        <w:rPr>
          <w:sz w:val="32"/>
          <w:szCs w:val="32"/>
          <w:lang w:val="en-IN"/>
        </w:rPr>
        <w:t xml:space="preserve">[5] R. Billinton and P. R. S. Kuruganty, “Probabilistic assessment of transient stability in a practical multimachine system,” IEEE Trans. on Power Apparatus and Systems, vol. 100, no. 7, July 1981. </w:t>
      </w:r>
    </w:p>
    <w:p w:rsidR="00000000" w:rsidRPr="00315B5A" w:rsidRDefault="009F44D1" w:rsidP="00315B5A">
      <w:pPr>
        <w:pStyle w:val="BodyText"/>
        <w:numPr>
          <w:ilvl w:val="0"/>
          <w:numId w:val="42"/>
        </w:numPr>
        <w:rPr>
          <w:sz w:val="32"/>
          <w:szCs w:val="32"/>
          <w:lang w:val="en-IN"/>
        </w:rPr>
      </w:pPr>
      <w:r w:rsidRPr="00315B5A">
        <w:rPr>
          <w:sz w:val="32"/>
          <w:szCs w:val="32"/>
          <w:lang w:val="en-IN"/>
        </w:rPr>
        <w:t>[6] F. F. Wu and Y-K Tsai, “Probabilistic dynamic secur</w:t>
      </w:r>
      <w:r w:rsidRPr="00315B5A">
        <w:rPr>
          <w:sz w:val="32"/>
          <w:szCs w:val="32"/>
          <w:lang w:val="en-IN"/>
        </w:rPr>
        <w:t xml:space="preserve">ity assessment of power systems: Part I - basic model,” IEEE Trans. on Circuits and Systems, vol. 30, no. 3, March 1983. </w:t>
      </w:r>
    </w:p>
    <w:p w:rsidR="00000000" w:rsidRPr="00315B5A" w:rsidRDefault="009F44D1" w:rsidP="00315B5A">
      <w:pPr>
        <w:pStyle w:val="BodyText"/>
        <w:numPr>
          <w:ilvl w:val="0"/>
          <w:numId w:val="42"/>
        </w:numPr>
        <w:rPr>
          <w:sz w:val="32"/>
          <w:szCs w:val="32"/>
          <w:lang w:val="en-IN"/>
        </w:rPr>
      </w:pPr>
      <w:r w:rsidRPr="00315B5A">
        <w:rPr>
          <w:sz w:val="32"/>
          <w:szCs w:val="32"/>
          <w:lang w:val="en-IN"/>
        </w:rPr>
        <w:lastRenderedPageBreak/>
        <w:t>[7] K. J. Timko, A. Bose, P. M. Anderson, “Monte Carlo simulation of power system stability,” IEEE Trans. on Power Apparatus and Syst</w:t>
      </w:r>
      <w:r w:rsidRPr="00315B5A">
        <w:rPr>
          <w:sz w:val="32"/>
          <w:szCs w:val="32"/>
          <w:lang w:val="en-IN"/>
        </w:rPr>
        <w:t xml:space="preserve">ems, vol. 102, no. 10, Oct. 1983. </w:t>
      </w:r>
    </w:p>
    <w:p w:rsidR="00000000" w:rsidRPr="00315B5A" w:rsidRDefault="009F44D1" w:rsidP="00315B5A">
      <w:pPr>
        <w:pStyle w:val="BodyText"/>
        <w:numPr>
          <w:ilvl w:val="0"/>
          <w:numId w:val="42"/>
        </w:numPr>
        <w:rPr>
          <w:sz w:val="32"/>
          <w:szCs w:val="32"/>
          <w:lang w:val="en-IN"/>
        </w:rPr>
      </w:pPr>
      <w:r w:rsidRPr="00315B5A">
        <w:rPr>
          <w:sz w:val="32"/>
          <w:szCs w:val="32"/>
          <w:lang w:val="en-IN"/>
        </w:rPr>
        <w:t xml:space="preserve">[8] H. Mohammed and C. O. Nwankpa, “Stochastic analysis and simulation of gridconnected wind energy conversion system,” IEEE Trans. on Energy Conversion, vol 15, no. 1, March 2000. </w:t>
      </w:r>
    </w:p>
    <w:p w:rsidR="00000000" w:rsidRPr="00315B5A" w:rsidRDefault="009F44D1" w:rsidP="00315B5A">
      <w:pPr>
        <w:pStyle w:val="BodyText"/>
        <w:numPr>
          <w:ilvl w:val="0"/>
          <w:numId w:val="42"/>
        </w:numPr>
        <w:rPr>
          <w:sz w:val="32"/>
          <w:szCs w:val="32"/>
          <w:lang w:val="en-IN"/>
        </w:rPr>
      </w:pPr>
      <w:r w:rsidRPr="00315B5A">
        <w:rPr>
          <w:sz w:val="32"/>
          <w:szCs w:val="32"/>
          <w:lang w:val="en-IN"/>
        </w:rPr>
        <w:t>[9] J. R. Hockenberry and B. C. Lesie</w:t>
      </w:r>
      <w:r w:rsidRPr="00315B5A">
        <w:rPr>
          <w:sz w:val="32"/>
          <w:szCs w:val="32"/>
          <w:lang w:val="en-IN"/>
        </w:rPr>
        <w:t xml:space="preserve">utre, “Evaluation of uncertainty in dynamic simulations of power system models: The Probabilistic collocation method,” IEEE Trans. on Power Systems, vol. 19, no. 3, August 2004. </w:t>
      </w:r>
    </w:p>
    <w:p w:rsidR="00000000" w:rsidRPr="00315B5A" w:rsidRDefault="009F44D1" w:rsidP="00315B5A">
      <w:pPr>
        <w:pStyle w:val="BodyText"/>
        <w:numPr>
          <w:ilvl w:val="0"/>
          <w:numId w:val="42"/>
        </w:numPr>
        <w:rPr>
          <w:sz w:val="32"/>
          <w:szCs w:val="32"/>
          <w:lang w:val="en-IN"/>
        </w:rPr>
      </w:pPr>
      <w:r w:rsidRPr="00315B5A">
        <w:rPr>
          <w:sz w:val="32"/>
          <w:szCs w:val="32"/>
          <w:lang w:val="en-IN"/>
        </w:rPr>
        <w:t>[10] S. O. Faried, R. Billinton, and S. Aboreschaid, “Probabilistic evaluati</w:t>
      </w:r>
      <w:r w:rsidRPr="00315B5A">
        <w:rPr>
          <w:sz w:val="32"/>
          <w:szCs w:val="32"/>
          <w:lang w:val="en-IN"/>
        </w:rPr>
        <w:t xml:space="preserve">on of transient stability of a wind farm,” IEEE Trans. on Energy Conversion, vol. 24, no. 3, Sept.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4D1" w:rsidRDefault="009F44D1" w:rsidP="003654DF">
      <w:pPr>
        <w:spacing w:after="0" w:line="240" w:lineRule="auto"/>
      </w:pPr>
      <w:r>
        <w:separator/>
      </w:r>
    </w:p>
  </w:endnote>
  <w:endnote w:type="continuationSeparator" w:id="1">
    <w:p w:rsidR="009F44D1" w:rsidRDefault="009F44D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4D1" w:rsidRDefault="009F44D1" w:rsidP="003654DF">
      <w:pPr>
        <w:spacing w:after="0" w:line="240" w:lineRule="auto"/>
      </w:pPr>
      <w:r>
        <w:separator/>
      </w:r>
    </w:p>
  </w:footnote>
  <w:footnote w:type="continuationSeparator" w:id="1">
    <w:p w:rsidR="009F44D1" w:rsidRDefault="009F44D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77323">
        <w:pPr>
          <w:pStyle w:val="Header"/>
          <w:jc w:val="right"/>
        </w:pPr>
        <w:fldSimple w:instr=" PAGE   \* MERGEFORMAT ">
          <w:r w:rsidR="004C1F4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A7EB6"/>
    <w:multiLevelType w:val="hybridMultilevel"/>
    <w:tmpl w:val="D640DC66"/>
    <w:lvl w:ilvl="0" w:tplc="CCF0B79A">
      <w:start w:val="1"/>
      <w:numFmt w:val="bullet"/>
      <w:lvlText w:val=""/>
      <w:lvlJc w:val="left"/>
      <w:pPr>
        <w:tabs>
          <w:tab w:val="num" w:pos="720"/>
        </w:tabs>
        <w:ind w:left="720" w:hanging="360"/>
      </w:pPr>
      <w:rPr>
        <w:rFonts w:ascii="Wingdings 2" w:hAnsi="Wingdings 2" w:hint="default"/>
      </w:rPr>
    </w:lvl>
    <w:lvl w:ilvl="1" w:tplc="3DD0A4EC" w:tentative="1">
      <w:start w:val="1"/>
      <w:numFmt w:val="bullet"/>
      <w:lvlText w:val=""/>
      <w:lvlJc w:val="left"/>
      <w:pPr>
        <w:tabs>
          <w:tab w:val="num" w:pos="1440"/>
        </w:tabs>
        <w:ind w:left="1440" w:hanging="360"/>
      </w:pPr>
      <w:rPr>
        <w:rFonts w:ascii="Wingdings 2" w:hAnsi="Wingdings 2" w:hint="default"/>
      </w:rPr>
    </w:lvl>
    <w:lvl w:ilvl="2" w:tplc="5E6CB6A6" w:tentative="1">
      <w:start w:val="1"/>
      <w:numFmt w:val="bullet"/>
      <w:lvlText w:val=""/>
      <w:lvlJc w:val="left"/>
      <w:pPr>
        <w:tabs>
          <w:tab w:val="num" w:pos="2160"/>
        </w:tabs>
        <w:ind w:left="2160" w:hanging="360"/>
      </w:pPr>
      <w:rPr>
        <w:rFonts w:ascii="Wingdings 2" w:hAnsi="Wingdings 2" w:hint="default"/>
      </w:rPr>
    </w:lvl>
    <w:lvl w:ilvl="3" w:tplc="7FE869D2" w:tentative="1">
      <w:start w:val="1"/>
      <w:numFmt w:val="bullet"/>
      <w:lvlText w:val=""/>
      <w:lvlJc w:val="left"/>
      <w:pPr>
        <w:tabs>
          <w:tab w:val="num" w:pos="2880"/>
        </w:tabs>
        <w:ind w:left="2880" w:hanging="360"/>
      </w:pPr>
      <w:rPr>
        <w:rFonts w:ascii="Wingdings 2" w:hAnsi="Wingdings 2" w:hint="default"/>
      </w:rPr>
    </w:lvl>
    <w:lvl w:ilvl="4" w:tplc="F9B659C0" w:tentative="1">
      <w:start w:val="1"/>
      <w:numFmt w:val="bullet"/>
      <w:lvlText w:val=""/>
      <w:lvlJc w:val="left"/>
      <w:pPr>
        <w:tabs>
          <w:tab w:val="num" w:pos="3600"/>
        </w:tabs>
        <w:ind w:left="3600" w:hanging="360"/>
      </w:pPr>
      <w:rPr>
        <w:rFonts w:ascii="Wingdings 2" w:hAnsi="Wingdings 2" w:hint="default"/>
      </w:rPr>
    </w:lvl>
    <w:lvl w:ilvl="5" w:tplc="81203B8A" w:tentative="1">
      <w:start w:val="1"/>
      <w:numFmt w:val="bullet"/>
      <w:lvlText w:val=""/>
      <w:lvlJc w:val="left"/>
      <w:pPr>
        <w:tabs>
          <w:tab w:val="num" w:pos="4320"/>
        </w:tabs>
        <w:ind w:left="4320" w:hanging="360"/>
      </w:pPr>
      <w:rPr>
        <w:rFonts w:ascii="Wingdings 2" w:hAnsi="Wingdings 2" w:hint="default"/>
      </w:rPr>
    </w:lvl>
    <w:lvl w:ilvl="6" w:tplc="81401416" w:tentative="1">
      <w:start w:val="1"/>
      <w:numFmt w:val="bullet"/>
      <w:lvlText w:val=""/>
      <w:lvlJc w:val="left"/>
      <w:pPr>
        <w:tabs>
          <w:tab w:val="num" w:pos="5040"/>
        </w:tabs>
        <w:ind w:left="5040" w:hanging="360"/>
      </w:pPr>
      <w:rPr>
        <w:rFonts w:ascii="Wingdings 2" w:hAnsi="Wingdings 2" w:hint="default"/>
      </w:rPr>
    </w:lvl>
    <w:lvl w:ilvl="7" w:tplc="08FAD718" w:tentative="1">
      <w:start w:val="1"/>
      <w:numFmt w:val="bullet"/>
      <w:lvlText w:val=""/>
      <w:lvlJc w:val="left"/>
      <w:pPr>
        <w:tabs>
          <w:tab w:val="num" w:pos="5760"/>
        </w:tabs>
        <w:ind w:left="5760" w:hanging="360"/>
      </w:pPr>
      <w:rPr>
        <w:rFonts w:ascii="Wingdings 2" w:hAnsi="Wingdings 2" w:hint="default"/>
      </w:rPr>
    </w:lvl>
    <w:lvl w:ilvl="8" w:tplc="538EFF2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B01EC"/>
    <w:multiLevelType w:val="hybridMultilevel"/>
    <w:tmpl w:val="F4109DA4"/>
    <w:lvl w:ilvl="0" w:tplc="321A789C">
      <w:start w:val="1"/>
      <w:numFmt w:val="bullet"/>
      <w:lvlText w:val=""/>
      <w:lvlJc w:val="left"/>
      <w:pPr>
        <w:tabs>
          <w:tab w:val="num" w:pos="720"/>
        </w:tabs>
        <w:ind w:left="720" w:hanging="360"/>
      </w:pPr>
      <w:rPr>
        <w:rFonts w:ascii="Wingdings 2" w:hAnsi="Wingdings 2" w:hint="default"/>
      </w:rPr>
    </w:lvl>
    <w:lvl w:ilvl="1" w:tplc="61346432" w:tentative="1">
      <w:start w:val="1"/>
      <w:numFmt w:val="bullet"/>
      <w:lvlText w:val=""/>
      <w:lvlJc w:val="left"/>
      <w:pPr>
        <w:tabs>
          <w:tab w:val="num" w:pos="1440"/>
        </w:tabs>
        <w:ind w:left="1440" w:hanging="360"/>
      </w:pPr>
      <w:rPr>
        <w:rFonts w:ascii="Wingdings 2" w:hAnsi="Wingdings 2" w:hint="default"/>
      </w:rPr>
    </w:lvl>
    <w:lvl w:ilvl="2" w:tplc="3E3E5F58" w:tentative="1">
      <w:start w:val="1"/>
      <w:numFmt w:val="bullet"/>
      <w:lvlText w:val=""/>
      <w:lvlJc w:val="left"/>
      <w:pPr>
        <w:tabs>
          <w:tab w:val="num" w:pos="2160"/>
        </w:tabs>
        <w:ind w:left="2160" w:hanging="360"/>
      </w:pPr>
      <w:rPr>
        <w:rFonts w:ascii="Wingdings 2" w:hAnsi="Wingdings 2" w:hint="default"/>
      </w:rPr>
    </w:lvl>
    <w:lvl w:ilvl="3" w:tplc="1FF437CC" w:tentative="1">
      <w:start w:val="1"/>
      <w:numFmt w:val="bullet"/>
      <w:lvlText w:val=""/>
      <w:lvlJc w:val="left"/>
      <w:pPr>
        <w:tabs>
          <w:tab w:val="num" w:pos="2880"/>
        </w:tabs>
        <w:ind w:left="2880" w:hanging="360"/>
      </w:pPr>
      <w:rPr>
        <w:rFonts w:ascii="Wingdings 2" w:hAnsi="Wingdings 2" w:hint="default"/>
      </w:rPr>
    </w:lvl>
    <w:lvl w:ilvl="4" w:tplc="20047BA8" w:tentative="1">
      <w:start w:val="1"/>
      <w:numFmt w:val="bullet"/>
      <w:lvlText w:val=""/>
      <w:lvlJc w:val="left"/>
      <w:pPr>
        <w:tabs>
          <w:tab w:val="num" w:pos="3600"/>
        </w:tabs>
        <w:ind w:left="3600" w:hanging="360"/>
      </w:pPr>
      <w:rPr>
        <w:rFonts w:ascii="Wingdings 2" w:hAnsi="Wingdings 2" w:hint="default"/>
      </w:rPr>
    </w:lvl>
    <w:lvl w:ilvl="5" w:tplc="4B126BEE" w:tentative="1">
      <w:start w:val="1"/>
      <w:numFmt w:val="bullet"/>
      <w:lvlText w:val=""/>
      <w:lvlJc w:val="left"/>
      <w:pPr>
        <w:tabs>
          <w:tab w:val="num" w:pos="4320"/>
        </w:tabs>
        <w:ind w:left="4320" w:hanging="360"/>
      </w:pPr>
      <w:rPr>
        <w:rFonts w:ascii="Wingdings 2" w:hAnsi="Wingdings 2" w:hint="default"/>
      </w:rPr>
    </w:lvl>
    <w:lvl w:ilvl="6" w:tplc="21341A18" w:tentative="1">
      <w:start w:val="1"/>
      <w:numFmt w:val="bullet"/>
      <w:lvlText w:val=""/>
      <w:lvlJc w:val="left"/>
      <w:pPr>
        <w:tabs>
          <w:tab w:val="num" w:pos="5040"/>
        </w:tabs>
        <w:ind w:left="5040" w:hanging="360"/>
      </w:pPr>
      <w:rPr>
        <w:rFonts w:ascii="Wingdings 2" w:hAnsi="Wingdings 2" w:hint="default"/>
      </w:rPr>
    </w:lvl>
    <w:lvl w:ilvl="7" w:tplc="6680BE2A" w:tentative="1">
      <w:start w:val="1"/>
      <w:numFmt w:val="bullet"/>
      <w:lvlText w:val=""/>
      <w:lvlJc w:val="left"/>
      <w:pPr>
        <w:tabs>
          <w:tab w:val="num" w:pos="5760"/>
        </w:tabs>
        <w:ind w:left="5760" w:hanging="360"/>
      </w:pPr>
      <w:rPr>
        <w:rFonts w:ascii="Wingdings 2" w:hAnsi="Wingdings 2" w:hint="default"/>
      </w:rPr>
    </w:lvl>
    <w:lvl w:ilvl="8" w:tplc="E276544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2A056B"/>
    <w:multiLevelType w:val="hybridMultilevel"/>
    <w:tmpl w:val="1DF80C74"/>
    <w:lvl w:ilvl="0" w:tplc="0F66F8AE">
      <w:start w:val="1"/>
      <w:numFmt w:val="bullet"/>
      <w:lvlText w:val=""/>
      <w:lvlJc w:val="left"/>
      <w:pPr>
        <w:tabs>
          <w:tab w:val="num" w:pos="720"/>
        </w:tabs>
        <w:ind w:left="720" w:hanging="360"/>
      </w:pPr>
      <w:rPr>
        <w:rFonts w:ascii="Wingdings 2" w:hAnsi="Wingdings 2" w:hint="default"/>
      </w:rPr>
    </w:lvl>
    <w:lvl w:ilvl="1" w:tplc="B06EE554" w:tentative="1">
      <w:start w:val="1"/>
      <w:numFmt w:val="bullet"/>
      <w:lvlText w:val=""/>
      <w:lvlJc w:val="left"/>
      <w:pPr>
        <w:tabs>
          <w:tab w:val="num" w:pos="1440"/>
        </w:tabs>
        <w:ind w:left="1440" w:hanging="360"/>
      </w:pPr>
      <w:rPr>
        <w:rFonts w:ascii="Wingdings 2" w:hAnsi="Wingdings 2" w:hint="default"/>
      </w:rPr>
    </w:lvl>
    <w:lvl w:ilvl="2" w:tplc="893E77A8" w:tentative="1">
      <w:start w:val="1"/>
      <w:numFmt w:val="bullet"/>
      <w:lvlText w:val=""/>
      <w:lvlJc w:val="left"/>
      <w:pPr>
        <w:tabs>
          <w:tab w:val="num" w:pos="2160"/>
        </w:tabs>
        <w:ind w:left="2160" w:hanging="360"/>
      </w:pPr>
      <w:rPr>
        <w:rFonts w:ascii="Wingdings 2" w:hAnsi="Wingdings 2" w:hint="default"/>
      </w:rPr>
    </w:lvl>
    <w:lvl w:ilvl="3" w:tplc="F466B4C6" w:tentative="1">
      <w:start w:val="1"/>
      <w:numFmt w:val="bullet"/>
      <w:lvlText w:val=""/>
      <w:lvlJc w:val="left"/>
      <w:pPr>
        <w:tabs>
          <w:tab w:val="num" w:pos="2880"/>
        </w:tabs>
        <w:ind w:left="2880" w:hanging="360"/>
      </w:pPr>
      <w:rPr>
        <w:rFonts w:ascii="Wingdings 2" w:hAnsi="Wingdings 2" w:hint="default"/>
      </w:rPr>
    </w:lvl>
    <w:lvl w:ilvl="4" w:tplc="946A3E48" w:tentative="1">
      <w:start w:val="1"/>
      <w:numFmt w:val="bullet"/>
      <w:lvlText w:val=""/>
      <w:lvlJc w:val="left"/>
      <w:pPr>
        <w:tabs>
          <w:tab w:val="num" w:pos="3600"/>
        </w:tabs>
        <w:ind w:left="3600" w:hanging="360"/>
      </w:pPr>
      <w:rPr>
        <w:rFonts w:ascii="Wingdings 2" w:hAnsi="Wingdings 2" w:hint="default"/>
      </w:rPr>
    </w:lvl>
    <w:lvl w:ilvl="5" w:tplc="99CA6916" w:tentative="1">
      <w:start w:val="1"/>
      <w:numFmt w:val="bullet"/>
      <w:lvlText w:val=""/>
      <w:lvlJc w:val="left"/>
      <w:pPr>
        <w:tabs>
          <w:tab w:val="num" w:pos="4320"/>
        </w:tabs>
        <w:ind w:left="4320" w:hanging="360"/>
      </w:pPr>
      <w:rPr>
        <w:rFonts w:ascii="Wingdings 2" w:hAnsi="Wingdings 2" w:hint="default"/>
      </w:rPr>
    </w:lvl>
    <w:lvl w:ilvl="6" w:tplc="FDE25ED4" w:tentative="1">
      <w:start w:val="1"/>
      <w:numFmt w:val="bullet"/>
      <w:lvlText w:val=""/>
      <w:lvlJc w:val="left"/>
      <w:pPr>
        <w:tabs>
          <w:tab w:val="num" w:pos="5040"/>
        </w:tabs>
        <w:ind w:left="5040" w:hanging="360"/>
      </w:pPr>
      <w:rPr>
        <w:rFonts w:ascii="Wingdings 2" w:hAnsi="Wingdings 2" w:hint="default"/>
      </w:rPr>
    </w:lvl>
    <w:lvl w:ilvl="7" w:tplc="4DFAC7C4" w:tentative="1">
      <w:start w:val="1"/>
      <w:numFmt w:val="bullet"/>
      <w:lvlText w:val=""/>
      <w:lvlJc w:val="left"/>
      <w:pPr>
        <w:tabs>
          <w:tab w:val="num" w:pos="5760"/>
        </w:tabs>
        <w:ind w:left="5760" w:hanging="360"/>
      </w:pPr>
      <w:rPr>
        <w:rFonts w:ascii="Wingdings 2" w:hAnsi="Wingdings 2" w:hint="default"/>
      </w:rPr>
    </w:lvl>
    <w:lvl w:ilvl="8" w:tplc="3B50FC9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5D0E8E"/>
    <w:multiLevelType w:val="hybridMultilevel"/>
    <w:tmpl w:val="1834C44E"/>
    <w:lvl w:ilvl="0" w:tplc="6EB809CA">
      <w:start w:val="1"/>
      <w:numFmt w:val="bullet"/>
      <w:lvlText w:val=""/>
      <w:lvlJc w:val="left"/>
      <w:pPr>
        <w:tabs>
          <w:tab w:val="num" w:pos="720"/>
        </w:tabs>
        <w:ind w:left="720" w:hanging="360"/>
      </w:pPr>
      <w:rPr>
        <w:rFonts w:ascii="Wingdings 2" w:hAnsi="Wingdings 2" w:hint="default"/>
      </w:rPr>
    </w:lvl>
    <w:lvl w:ilvl="1" w:tplc="0E7CE6C0" w:tentative="1">
      <w:start w:val="1"/>
      <w:numFmt w:val="bullet"/>
      <w:lvlText w:val=""/>
      <w:lvlJc w:val="left"/>
      <w:pPr>
        <w:tabs>
          <w:tab w:val="num" w:pos="1440"/>
        </w:tabs>
        <w:ind w:left="1440" w:hanging="360"/>
      </w:pPr>
      <w:rPr>
        <w:rFonts w:ascii="Wingdings 2" w:hAnsi="Wingdings 2" w:hint="default"/>
      </w:rPr>
    </w:lvl>
    <w:lvl w:ilvl="2" w:tplc="D87227B8" w:tentative="1">
      <w:start w:val="1"/>
      <w:numFmt w:val="bullet"/>
      <w:lvlText w:val=""/>
      <w:lvlJc w:val="left"/>
      <w:pPr>
        <w:tabs>
          <w:tab w:val="num" w:pos="2160"/>
        </w:tabs>
        <w:ind w:left="2160" w:hanging="360"/>
      </w:pPr>
      <w:rPr>
        <w:rFonts w:ascii="Wingdings 2" w:hAnsi="Wingdings 2" w:hint="default"/>
      </w:rPr>
    </w:lvl>
    <w:lvl w:ilvl="3" w:tplc="181C54B8" w:tentative="1">
      <w:start w:val="1"/>
      <w:numFmt w:val="bullet"/>
      <w:lvlText w:val=""/>
      <w:lvlJc w:val="left"/>
      <w:pPr>
        <w:tabs>
          <w:tab w:val="num" w:pos="2880"/>
        </w:tabs>
        <w:ind w:left="2880" w:hanging="360"/>
      </w:pPr>
      <w:rPr>
        <w:rFonts w:ascii="Wingdings 2" w:hAnsi="Wingdings 2" w:hint="default"/>
      </w:rPr>
    </w:lvl>
    <w:lvl w:ilvl="4" w:tplc="8A5ECE1A" w:tentative="1">
      <w:start w:val="1"/>
      <w:numFmt w:val="bullet"/>
      <w:lvlText w:val=""/>
      <w:lvlJc w:val="left"/>
      <w:pPr>
        <w:tabs>
          <w:tab w:val="num" w:pos="3600"/>
        </w:tabs>
        <w:ind w:left="3600" w:hanging="360"/>
      </w:pPr>
      <w:rPr>
        <w:rFonts w:ascii="Wingdings 2" w:hAnsi="Wingdings 2" w:hint="default"/>
      </w:rPr>
    </w:lvl>
    <w:lvl w:ilvl="5" w:tplc="5F5A9814" w:tentative="1">
      <w:start w:val="1"/>
      <w:numFmt w:val="bullet"/>
      <w:lvlText w:val=""/>
      <w:lvlJc w:val="left"/>
      <w:pPr>
        <w:tabs>
          <w:tab w:val="num" w:pos="4320"/>
        </w:tabs>
        <w:ind w:left="4320" w:hanging="360"/>
      </w:pPr>
      <w:rPr>
        <w:rFonts w:ascii="Wingdings 2" w:hAnsi="Wingdings 2" w:hint="default"/>
      </w:rPr>
    </w:lvl>
    <w:lvl w:ilvl="6" w:tplc="BCFA3FF4" w:tentative="1">
      <w:start w:val="1"/>
      <w:numFmt w:val="bullet"/>
      <w:lvlText w:val=""/>
      <w:lvlJc w:val="left"/>
      <w:pPr>
        <w:tabs>
          <w:tab w:val="num" w:pos="5040"/>
        </w:tabs>
        <w:ind w:left="5040" w:hanging="360"/>
      </w:pPr>
      <w:rPr>
        <w:rFonts w:ascii="Wingdings 2" w:hAnsi="Wingdings 2" w:hint="default"/>
      </w:rPr>
    </w:lvl>
    <w:lvl w:ilvl="7" w:tplc="C6540EA6" w:tentative="1">
      <w:start w:val="1"/>
      <w:numFmt w:val="bullet"/>
      <w:lvlText w:val=""/>
      <w:lvlJc w:val="left"/>
      <w:pPr>
        <w:tabs>
          <w:tab w:val="num" w:pos="5760"/>
        </w:tabs>
        <w:ind w:left="5760" w:hanging="360"/>
      </w:pPr>
      <w:rPr>
        <w:rFonts w:ascii="Wingdings 2" w:hAnsi="Wingdings 2" w:hint="default"/>
      </w:rPr>
    </w:lvl>
    <w:lvl w:ilvl="8" w:tplc="43DA7DB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C365F0"/>
    <w:multiLevelType w:val="hybridMultilevel"/>
    <w:tmpl w:val="FD10D9BA"/>
    <w:lvl w:ilvl="0" w:tplc="33524614">
      <w:start w:val="1"/>
      <w:numFmt w:val="bullet"/>
      <w:lvlText w:val=""/>
      <w:lvlJc w:val="left"/>
      <w:pPr>
        <w:tabs>
          <w:tab w:val="num" w:pos="720"/>
        </w:tabs>
        <w:ind w:left="720" w:hanging="360"/>
      </w:pPr>
      <w:rPr>
        <w:rFonts w:ascii="Wingdings 2" w:hAnsi="Wingdings 2" w:hint="default"/>
      </w:rPr>
    </w:lvl>
    <w:lvl w:ilvl="1" w:tplc="E9447A4C" w:tentative="1">
      <w:start w:val="1"/>
      <w:numFmt w:val="bullet"/>
      <w:lvlText w:val=""/>
      <w:lvlJc w:val="left"/>
      <w:pPr>
        <w:tabs>
          <w:tab w:val="num" w:pos="1440"/>
        </w:tabs>
        <w:ind w:left="1440" w:hanging="360"/>
      </w:pPr>
      <w:rPr>
        <w:rFonts w:ascii="Wingdings 2" w:hAnsi="Wingdings 2" w:hint="default"/>
      </w:rPr>
    </w:lvl>
    <w:lvl w:ilvl="2" w:tplc="13C4C5F8" w:tentative="1">
      <w:start w:val="1"/>
      <w:numFmt w:val="bullet"/>
      <w:lvlText w:val=""/>
      <w:lvlJc w:val="left"/>
      <w:pPr>
        <w:tabs>
          <w:tab w:val="num" w:pos="2160"/>
        </w:tabs>
        <w:ind w:left="2160" w:hanging="360"/>
      </w:pPr>
      <w:rPr>
        <w:rFonts w:ascii="Wingdings 2" w:hAnsi="Wingdings 2" w:hint="default"/>
      </w:rPr>
    </w:lvl>
    <w:lvl w:ilvl="3" w:tplc="5336CADE" w:tentative="1">
      <w:start w:val="1"/>
      <w:numFmt w:val="bullet"/>
      <w:lvlText w:val=""/>
      <w:lvlJc w:val="left"/>
      <w:pPr>
        <w:tabs>
          <w:tab w:val="num" w:pos="2880"/>
        </w:tabs>
        <w:ind w:left="2880" w:hanging="360"/>
      </w:pPr>
      <w:rPr>
        <w:rFonts w:ascii="Wingdings 2" w:hAnsi="Wingdings 2" w:hint="default"/>
      </w:rPr>
    </w:lvl>
    <w:lvl w:ilvl="4" w:tplc="568A7E1E" w:tentative="1">
      <w:start w:val="1"/>
      <w:numFmt w:val="bullet"/>
      <w:lvlText w:val=""/>
      <w:lvlJc w:val="left"/>
      <w:pPr>
        <w:tabs>
          <w:tab w:val="num" w:pos="3600"/>
        </w:tabs>
        <w:ind w:left="3600" w:hanging="360"/>
      </w:pPr>
      <w:rPr>
        <w:rFonts w:ascii="Wingdings 2" w:hAnsi="Wingdings 2" w:hint="default"/>
      </w:rPr>
    </w:lvl>
    <w:lvl w:ilvl="5" w:tplc="C8167C64" w:tentative="1">
      <w:start w:val="1"/>
      <w:numFmt w:val="bullet"/>
      <w:lvlText w:val=""/>
      <w:lvlJc w:val="left"/>
      <w:pPr>
        <w:tabs>
          <w:tab w:val="num" w:pos="4320"/>
        </w:tabs>
        <w:ind w:left="4320" w:hanging="360"/>
      </w:pPr>
      <w:rPr>
        <w:rFonts w:ascii="Wingdings 2" w:hAnsi="Wingdings 2" w:hint="default"/>
      </w:rPr>
    </w:lvl>
    <w:lvl w:ilvl="6" w:tplc="94040118" w:tentative="1">
      <w:start w:val="1"/>
      <w:numFmt w:val="bullet"/>
      <w:lvlText w:val=""/>
      <w:lvlJc w:val="left"/>
      <w:pPr>
        <w:tabs>
          <w:tab w:val="num" w:pos="5040"/>
        </w:tabs>
        <w:ind w:left="5040" w:hanging="360"/>
      </w:pPr>
      <w:rPr>
        <w:rFonts w:ascii="Wingdings 2" w:hAnsi="Wingdings 2" w:hint="default"/>
      </w:rPr>
    </w:lvl>
    <w:lvl w:ilvl="7" w:tplc="48346F7E" w:tentative="1">
      <w:start w:val="1"/>
      <w:numFmt w:val="bullet"/>
      <w:lvlText w:val=""/>
      <w:lvlJc w:val="left"/>
      <w:pPr>
        <w:tabs>
          <w:tab w:val="num" w:pos="5760"/>
        </w:tabs>
        <w:ind w:left="5760" w:hanging="360"/>
      </w:pPr>
      <w:rPr>
        <w:rFonts w:ascii="Wingdings 2" w:hAnsi="Wingdings 2" w:hint="default"/>
      </w:rPr>
    </w:lvl>
    <w:lvl w:ilvl="8" w:tplc="A354473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0768F6"/>
    <w:multiLevelType w:val="hybridMultilevel"/>
    <w:tmpl w:val="F626B0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5"/>
  </w:num>
  <w:num w:numId="42">
    <w:abstractNumId w:val="23"/>
  </w:num>
  <w:num w:numId="43">
    <w:abstractNumId w:val="1"/>
  </w:num>
  <w:num w:numId="44">
    <w:abstractNumId w:val="11"/>
  </w:num>
  <w:num w:numId="45">
    <w:abstractNumId w:val="3"/>
  </w:num>
  <w:num w:numId="46">
    <w:abstractNumId w:val="38"/>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9CB"/>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323"/>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45B1F"/>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2DD7"/>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10C"/>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5B5A"/>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1F41"/>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4D1"/>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8F9"/>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B7EA1"/>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4354695">
      <w:bodyDiv w:val="1"/>
      <w:marLeft w:val="0"/>
      <w:marRight w:val="0"/>
      <w:marTop w:val="0"/>
      <w:marBottom w:val="0"/>
      <w:divBdr>
        <w:top w:val="none" w:sz="0" w:space="0" w:color="auto"/>
        <w:left w:val="none" w:sz="0" w:space="0" w:color="auto"/>
        <w:bottom w:val="none" w:sz="0" w:space="0" w:color="auto"/>
        <w:right w:val="none" w:sz="0" w:space="0" w:color="auto"/>
      </w:divBdr>
      <w:divsChild>
        <w:div w:id="1547140211">
          <w:marLeft w:val="0"/>
          <w:marRight w:val="0"/>
          <w:marTop w:val="0"/>
          <w:marBottom w:val="0"/>
          <w:divBdr>
            <w:top w:val="none" w:sz="0" w:space="0" w:color="auto"/>
            <w:left w:val="none" w:sz="0" w:space="0" w:color="auto"/>
            <w:bottom w:val="none" w:sz="0" w:space="0" w:color="auto"/>
            <w:right w:val="none" w:sz="0" w:space="0" w:color="auto"/>
          </w:divBdr>
          <w:divsChild>
            <w:div w:id="1274022478">
              <w:marLeft w:val="0"/>
              <w:marRight w:val="0"/>
              <w:marTop w:val="0"/>
              <w:marBottom w:val="0"/>
              <w:divBdr>
                <w:top w:val="none" w:sz="0" w:space="0" w:color="auto"/>
                <w:left w:val="none" w:sz="0" w:space="0" w:color="auto"/>
                <w:bottom w:val="none" w:sz="0" w:space="0" w:color="auto"/>
                <w:right w:val="none" w:sz="0" w:space="0" w:color="auto"/>
              </w:divBdr>
              <w:divsChild>
                <w:div w:id="1857304755">
                  <w:marLeft w:val="0"/>
                  <w:marRight w:val="0"/>
                  <w:marTop w:val="0"/>
                  <w:marBottom w:val="0"/>
                  <w:divBdr>
                    <w:top w:val="none" w:sz="0" w:space="0" w:color="auto"/>
                    <w:left w:val="none" w:sz="0" w:space="0" w:color="auto"/>
                    <w:bottom w:val="none" w:sz="0" w:space="0" w:color="auto"/>
                    <w:right w:val="none" w:sz="0" w:space="0" w:color="auto"/>
                  </w:divBdr>
                  <w:divsChild>
                    <w:div w:id="115587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8090016">
      <w:bodyDiv w:val="1"/>
      <w:marLeft w:val="0"/>
      <w:marRight w:val="0"/>
      <w:marTop w:val="0"/>
      <w:marBottom w:val="0"/>
      <w:divBdr>
        <w:top w:val="none" w:sz="0" w:space="0" w:color="auto"/>
        <w:left w:val="none" w:sz="0" w:space="0" w:color="auto"/>
        <w:bottom w:val="none" w:sz="0" w:space="0" w:color="auto"/>
        <w:right w:val="none" w:sz="0" w:space="0" w:color="auto"/>
      </w:divBdr>
      <w:divsChild>
        <w:div w:id="1589775317">
          <w:marLeft w:val="576"/>
          <w:marRight w:val="0"/>
          <w:marTop w:val="120"/>
          <w:marBottom w:val="0"/>
          <w:divBdr>
            <w:top w:val="none" w:sz="0" w:space="0" w:color="auto"/>
            <w:left w:val="none" w:sz="0" w:space="0" w:color="auto"/>
            <w:bottom w:val="none" w:sz="0" w:space="0" w:color="auto"/>
            <w:right w:val="none" w:sz="0" w:space="0" w:color="auto"/>
          </w:divBdr>
        </w:div>
        <w:div w:id="2100127817">
          <w:marLeft w:val="576"/>
          <w:marRight w:val="0"/>
          <w:marTop w:val="120"/>
          <w:marBottom w:val="0"/>
          <w:divBdr>
            <w:top w:val="none" w:sz="0" w:space="0" w:color="auto"/>
            <w:left w:val="none" w:sz="0" w:space="0" w:color="auto"/>
            <w:bottom w:val="none" w:sz="0" w:space="0" w:color="auto"/>
            <w:right w:val="none" w:sz="0" w:space="0" w:color="auto"/>
          </w:divBdr>
        </w:div>
        <w:div w:id="1441533121">
          <w:marLeft w:val="576"/>
          <w:marRight w:val="0"/>
          <w:marTop w:val="120"/>
          <w:marBottom w:val="0"/>
          <w:divBdr>
            <w:top w:val="none" w:sz="0" w:space="0" w:color="auto"/>
            <w:left w:val="none" w:sz="0" w:space="0" w:color="auto"/>
            <w:bottom w:val="none" w:sz="0" w:space="0" w:color="auto"/>
            <w:right w:val="none" w:sz="0" w:space="0" w:color="auto"/>
          </w:divBdr>
        </w:div>
        <w:div w:id="167688013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9800551">
      <w:bodyDiv w:val="1"/>
      <w:marLeft w:val="0"/>
      <w:marRight w:val="0"/>
      <w:marTop w:val="0"/>
      <w:marBottom w:val="0"/>
      <w:divBdr>
        <w:top w:val="none" w:sz="0" w:space="0" w:color="auto"/>
        <w:left w:val="none" w:sz="0" w:space="0" w:color="auto"/>
        <w:bottom w:val="none" w:sz="0" w:space="0" w:color="auto"/>
        <w:right w:val="none" w:sz="0" w:space="0" w:color="auto"/>
      </w:divBdr>
      <w:divsChild>
        <w:div w:id="11803248">
          <w:marLeft w:val="576"/>
          <w:marRight w:val="0"/>
          <w:marTop w:val="120"/>
          <w:marBottom w:val="0"/>
          <w:divBdr>
            <w:top w:val="none" w:sz="0" w:space="0" w:color="auto"/>
            <w:left w:val="none" w:sz="0" w:space="0" w:color="auto"/>
            <w:bottom w:val="none" w:sz="0" w:space="0" w:color="auto"/>
            <w:right w:val="none" w:sz="0" w:space="0" w:color="auto"/>
          </w:divBdr>
        </w:div>
        <w:div w:id="946545511">
          <w:marLeft w:val="576"/>
          <w:marRight w:val="0"/>
          <w:marTop w:val="120"/>
          <w:marBottom w:val="0"/>
          <w:divBdr>
            <w:top w:val="none" w:sz="0" w:space="0" w:color="auto"/>
            <w:left w:val="none" w:sz="0" w:space="0" w:color="auto"/>
            <w:bottom w:val="none" w:sz="0" w:space="0" w:color="auto"/>
            <w:right w:val="none" w:sz="0" w:space="0" w:color="auto"/>
          </w:divBdr>
        </w:div>
        <w:div w:id="665518358">
          <w:marLeft w:val="576"/>
          <w:marRight w:val="0"/>
          <w:marTop w:val="120"/>
          <w:marBottom w:val="0"/>
          <w:divBdr>
            <w:top w:val="none" w:sz="0" w:space="0" w:color="auto"/>
            <w:left w:val="none" w:sz="0" w:space="0" w:color="auto"/>
            <w:bottom w:val="none" w:sz="0" w:space="0" w:color="auto"/>
            <w:right w:val="none" w:sz="0" w:space="0" w:color="auto"/>
          </w:divBdr>
        </w:div>
        <w:div w:id="1126121333">
          <w:marLeft w:val="576"/>
          <w:marRight w:val="0"/>
          <w:marTop w:val="120"/>
          <w:marBottom w:val="0"/>
          <w:divBdr>
            <w:top w:val="none" w:sz="0" w:space="0" w:color="auto"/>
            <w:left w:val="none" w:sz="0" w:space="0" w:color="auto"/>
            <w:bottom w:val="none" w:sz="0" w:space="0" w:color="auto"/>
            <w:right w:val="none" w:sz="0" w:space="0" w:color="auto"/>
          </w:divBdr>
        </w:div>
        <w:div w:id="28157204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5072309">
      <w:bodyDiv w:val="1"/>
      <w:marLeft w:val="0"/>
      <w:marRight w:val="0"/>
      <w:marTop w:val="0"/>
      <w:marBottom w:val="0"/>
      <w:divBdr>
        <w:top w:val="none" w:sz="0" w:space="0" w:color="auto"/>
        <w:left w:val="none" w:sz="0" w:space="0" w:color="auto"/>
        <w:bottom w:val="none" w:sz="0" w:space="0" w:color="auto"/>
        <w:right w:val="none" w:sz="0" w:space="0" w:color="auto"/>
      </w:divBdr>
      <w:divsChild>
        <w:div w:id="440805679">
          <w:marLeft w:val="576"/>
          <w:marRight w:val="0"/>
          <w:marTop w:val="120"/>
          <w:marBottom w:val="0"/>
          <w:divBdr>
            <w:top w:val="none" w:sz="0" w:space="0" w:color="auto"/>
            <w:left w:val="none" w:sz="0" w:space="0" w:color="auto"/>
            <w:bottom w:val="none" w:sz="0" w:space="0" w:color="auto"/>
            <w:right w:val="none" w:sz="0" w:space="0" w:color="auto"/>
          </w:divBdr>
        </w:div>
        <w:div w:id="2003460324">
          <w:marLeft w:val="576"/>
          <w:marRight w:val="0"/>
          <w:marTop w:val="120"/>
          <w:marBottom w:val="0"/>
          <w:divBdr>
            <w:top w:val="none" w:sz="0" w:space="0" w:color="auto"/>
            <w:left w:val="none" w:sz="0" w:space="0" w:color="auto"/>
            <w:bottom w:val="none" w:sz="0" w:space="0" w:color="auto"/>
            <w:right w:val="none" w:sz="0" w:space="0" w:color="auto"/>
          </w:divBdr>
        </w:div>
        <w:div w:id="745303621">
          <w:marLeft w:val="576"/>
          <w:marRight w:val="0"/>
          <w:marTop w:val="120"/>
          <w:marBottom w:val="0"/>
          <w:divBdr>
            <w:top w:val="none" w:sz="0" w:space="0" w:color="auto"/>
            <w:left w:val="none" w:sz="0" w:space="0" w:color="auto"/>
            <w:bottom w:val="none" w:sz="0" w:space="0" w:color="auto"/>
            <w:right w:val="none" w:sz="0" w:space="0" w:color="auto"/>
          </w:divBdr>
        </w:div>
        <w:div w:id="1921669327">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751924">
      <w:bodyDiv w:val="1"/>
      <w:marLeft w:val="0"/>
      <w:marRight w:val="0"/>
      <w:marTop w:val="0"/>
      <w:marBottom w:val="0"/>
      <w:divBdr>
        <w:top w:val="none" w:sz="0" w:space="0" w:color="auto"/>
        <w:left w:val="none" w:sz="0" w:space="0" w:color="auto"/>
        <w:bottom w:val="none" w:sz="0" w:space="0" w:color="auto"/>
        <w:right w:val="none" w:sz="0" w:space="0" w:color="auto"/>
      </w:divBdr>
      <w:divsChild>
        <w:div w:id="1929999634">
          <w:marLeft w:val="576"/>
          <w:marRight w:val="0"/>
          <w:marTop w:val="120"/>
          <w:marBottom w:val="0"/>
          <w:divBdr>
            <w:top w:val="none" w:sz="0" w:space="0" w:color="auto"/>
            <w:left w:val="none" w:sz="0" w:space="0" w:color="auto"/>
            <w:bottom w:val="none" w:sz="0" w:space="0" w:color="auto"/>
            <w:right w:val="none" w:sz="0" w:space="0" w:color="auto"/>
          </w:divBdr>
        </w:div>
        <w:div w:id="1639265957">
          <w:marLeft w:val="576"/>
          <w:marRight w:val="0"/>
          <w:marTop w:val="120"/>
          <w:marBottom w:val="0"/>
          <w:divBdr>
            <w:top w:val="none" w:sz="0" w:space="0" w:color="auto"/>
            <w:left w:val="none" w:sz="0" w:space="0" w:color="auto"/>
            <w:bottom w:val="none" w:sz="0" w:space="0" w:color="auto"/>
            <w:right w:val="none" w:sz="0" w:space="0" w:color="auto"/>
          </w:divBdr>
        </w:div>
        <w:div w:id="2099666655">
          <w:marLeft w:val="576"/>
          <w:marRight w:val="0"/>
          <w:marTop w:val="120"/>
          <w:marBottom w:val="0"/>
          <w:divBdr>
            <w:top w:val="none" w:sz="0" w:space="0" w:color="auto"/>
            <w:left w:val="none" w:sz="0" w:space="0" w:color="auto"/>
            <w:bottom w:val="none" w:sz="0" w:space="0" w:color="auto"/>
            <w:right w:val="none" w:sz="0" w:space="0" w:color="auto"/>
          </w:divBdr>
        </w:div>
        <w:div w:id="61355951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72802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5579315">
      <w:bodyDiv w:val="1"/>
      <w:marLeft w:val="0"/>
      <w:marRight w:val="0"/>
      <w:marTop w:val="0"/>
      <w:marBottom w:val="0"/>
      <w:divBdr>
        <w:top w:val="none" w:sz="0" w:space="0" w:color="auto"/>
        <w:left w:val="none" w:sz="0" w:space="0" w:color="auto"/>
        <w:bottom w:val="none" w:sz="0" w:space="0" w:color="auto"/>
        <w:right w:val="none" w:sz="0" w:space="0" w:color="auto"/>
      </w:divBdr>
      <w:divsChild>
        <w:div w:id="1559514680">
          <w:marLeft w:val="576"/>
          <w:marRight w:val="0"/>
          <w:marTop w:val="120"/>
          <w:marBottom w:val="0"/>
          <w:divBdr>
            <w:top w:val="none" w:sz="0" w:space="0" w:color="auto"/>
            <w:left w:val="none" w:sz="0" w:space="0" w:color="auto"/>
            <w:bottom w:val="none" w:sz="0" w:space="0" w:color="auto"/>
            <w:right w:val="none" w:sz="0" w:space="0" w:color="auto"/>
          </w:divBdr>
        </w:div>
        <w:div w:id="1538421979">
          <w:marLeft w:val="576"/>
          <w:marRight w:val="0"/>
          <w:marTop w:val="120"/>
          <w:marBottom w:val="0"/>
          <w:divBdr>
            <w:top w:val="none" w:sz="0" w:space="0" w:color="auto"/>
            <w:left w:val="none" w:sz="0" w:space="0" w:color="auto"/>
            <w:bottom w:val="none" w:sz="0" w:space="0" w:color="auto"/>
            <w:right w:val="none" w:sz="0" w:space="0" w:color="auto"/>
          </w:divBdr>
        </w:div>
        <w:div w:id="263459068">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7948047">
      <w:bodyDiv w:val="1"/>
      <w:marLeft w:val="0"/>
      <w:marRight w:val="0"/>
      <w:marTop w:val="0"/>
      <w:marBottom w:val="0"/>
      <w:divBdr>
        <w:top w:val="none" w:sz="0" w:space="0" w:color="auto"/>
        <w:left w:val="none" w:sz="0" w:space="0" w:color="auto"/>
        <w:bottom w:val="none" w:sz="0" w:space="0" w:color="auto"/>
        <w:right w:val="none" w:sz="0" w:space="0" w:color="auto"/>
      </w:divBdr>
      <w:divsChild>
        <w:div w:id="1980303026">
          <w:marLeft w:val="576"/>
          <w:marRight w:val="0"/>
          <w:marTop w:val="120"/>
          <w:marBottom w:val="0"/>
          <w:divBdr>
            <w:top w:val="none" w:sz="0" w:space="0" w:color="auto"/>
            <w:left w:val="none" w:sz="0" w:space="0" w:color="auto"/>
            <w:bottom w:val="none" w:sz="0" w:space="0" w:color="auto"/>
            <w:right w:val="none" w:sz="0" w:space="0" w:color="auto"/>
          </w:divBdr>
        </w:div>
        <w:div w:id="1369066167">
          <w:marLeft w:val="576"/>
          <w:marRight w:val="0"/>
          <w:marTop w:val="120"/>
          <w:marBottom w:val="0"/>
          <w:divBdr>
            <w:top w:val="none" w:sz="0" w:space="0" w:color="auto"/>
            <w:left w:val="none" w:sz="0" w:space="0" w:color="auto"/>
            <w:bottom w:val="none" w:sz="0" w:space="0" w:color="auto"/>
            <w:right w:val="none" w:sz="0" w:space="0" w:color="auto"/>
          </w:divBdr>
        </w:div>
        <w:div w:id="1987708046">
          <w:marLeft w:val="576"/>
          <w:marRight w:val="0"/>
          <w:marTop w:val="120"/>
          <w:marBottom w:val="0"/>
          <w:divBdr>
            <w:top w:val="none" w:sz="0" w:space="0" w:color="auto"/>
            <w:left w:val="none" w:sz="0" w:space="0" w:color="auto"/>
            <w:bottom w:val="none" w:sz="0" w:space="0" w:color="auto"/>
            <w:right w:val="none" w:sz="0" w:space="0" w:color="auto"/>
          </w:divBdr>
        </w:div>
        <w:div w:id="1062094616">
          <w:marLeft w:val="576"/>
          <w:marRight w:val="0"/>
          <w:marTop w:val="120"/>
          <w:marBottom w:val="0"/>
          <w:divBdr>
            <w:top w:val="none" w:sz="0" w:space="0" w:color="auto"/>
            <w:left w:val="none" w:sz="0" w:space="0" w:color="auto"/>
            <w:bottom w:val="none" w:sz="0" w:space="0" w:color="auto"/>
            <w:right w:val="none" w:sz="0" w:space="0" w:color="auto"/>
          </w:divBdr>
        </w:div>
        <w:div w:id="21832036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3690</TotalTime>
  <Pages>14</Pages>
  <Words>1775</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2021-06-02T12:02:00Z</dcterms:modified>
</cp:coreProperties>
</file>