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47EA8" w:rsidRDefault="00447EA8" w:rsidP="00447EA8">
      <w:pPr>
        <w:spacing w:line="360" w:lineRule="auto"/>
        <w:jc w:val="center"/>
        <w:rPr>
          <w:rFonts w:ascii="Times New Roman" w:hAnsi="Times New Roman" w:cs="Times New Roman"/>
          <w:b/>
          <w:sz w:val="44"/>
          <w:szCs w:val="44"/>
        </w:rPr>
      </w:pPr>
      <w:r w:rsidRPr="00447EA8">
        <w:rPr>
          <w:rFonts w:ascii="Times New Roman" w:hAnsi="Times New Roman" w:cs="Times New Roman"/>
          <w:b/>
          <w:sz w:val="44"/>
          <w:szCs w:val="44"/>
        </w:rPr>
        <w:t>Decentralized Data-Driven Load Restoration in Cou-pled Transmission and Distribution System with Wind Power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47EA8" w:rsidRDefault="00447EA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47EA8" w:rsidRPr="00447EA8" w:rsidRDefault="00447EA8" w:rsidP="00447EA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47EA8">
        <w:rPr>
          <w:rFonts w:ascii="Times New Roman" w:eastAsia="Times New Roman" w:hAnsi="Times New Roman" w:cs="Times New Roman"/>
          <w:color w:val="333333"/>
          <w:sz w:val="32"/>
          <w:szCs w:val="32"/>
          <w:lang w:val="en-IN" w:eastAsia="en-IN" w:bidi="ta-IN"/>
        </w:rPr>
        <w:t>This paper proposes a new decentralized data-driven load res-toration (DDLR) scheme for transmission and distribution (TD) systems with high penetration of wind power. Robust DDLR models are constructed in order to handle uncertainties and ensure the feasibility of decentralized schemes. The Wasserstein metric is used to describe the ambiguity sets of probability distributions in order to build the complete DDLR model and realize computationally tractable formulation. A data-driven model-nested analytical target cascading (DATC) algorithm is developed to obtain the final load restoration result by iteratively solving small-scale mathematical models. The proposed DDLR scheme provides load restoration results with adjustable robustness, and performance efficiency is independent from the amount of data. The DDLR scheme makes full use of the available data while respecting information privacy requirements of independently operated systems, and ensures the feasibility of the decentralized load restoration strategy even in the worst-case condition. The effectiveness of the proposed method is validated using a small-scale TDS and a large-scale system with the IEEE 118-bus TS and thirty IEEE-33 DSs, showing high computational efficiency and superior restoration performance.</w:t>
      </w:r>
    </w:p>
    <w:p w:rsidR="00447EA8" w:rsidRDefault="00447EA8" w:rsidP="00447EA8">
      <w:pPr>
        <w:tabs>
          <w:tab w:val="left" w:pos="6210"/>
        </w:tabs>
        <w:spacing w:line="360" w:lineRule="auto"/>
        <w:jc w:val="both"/>
        <w:rPr>
          <w:rFonts w:ascii="Times New Roman" w:hAnsi="Times New Roman" w:cs="Times New Roman"/>
          <w:b/>
          <w:sz w:val="40"/>
          <w:szCs w:val="40"/>
        </w:rPr>
      </w:pPr>
    </w:p>
    <w:p w:rsidR="00491919" w:rsidRDefault="001C4FD2" w:rsidP="00447EA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C1373" w:rsidRDefault="00566C26" w:rsidP="00AC137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C1373">
        <w:rPr>
          <w:rFonts w:ascii="Times New Roman" w:hAnsi="Times New Roman" w:cs="Times New Roman"/>
          <w:sz w:val="32"/>
          <w:szCs w:val="32"/>
          <w:lang w:val="en-IN"/>
        </w:rPr>
        <w:t>In general, the SG is intended to replace the fossil fuel-rich conventional grid with the distributed energy resources (DER) and pools</w:t>
      </w:r>
      <w:r w:rsidRPr="00AC1373">
        <w:rPr>
          <w:rFonts w:ascii="Times New Roman" w:hAnsi="Times New Roman" w:cs="Times New Roman"/>
          <w:sz w:val="32"/>
          <w:szCs w:val="32"/>
          <w:lang w:val="en-IN"/>
        </w:rPr>
        <w:t xml:space="preserve"> numerous existing and emerging know-hows like information and digital communications technologies together to manage countless operations.</w:t>
      </w:r>
    </w:p>
    <w:p w:rsidR="00000000" w:rsidRPr="00AC1373" w:rsidRDefault="00566C26" w:rsidP="00AC137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C1373">
        <w:rPr>
          <w:rFonts w:ascii="Times New Roman" w:hAnsi="Times New Roman" w:cs="Times New Roman"/>
          <w:sz w:val="32"/>
          <w:szCs w:val="32"/>
          <w:lang w:val="en-IN"/>
        </w:rPr>
        <w:t>Therefore, ESN needs active network management techniques. For this, the existing MG should undergo a digital trans</w:t>
      </w:r>
      <w:r w:rsidRPr="00AC1373">
        <w:rPr>
          <w:rFonts w:ascii="Times New Roman" w:hAnsi="Times New Roman" w:cs="Times New Roman"/>
          <w:sz w:val="32"/>
          <w:szCs w:val="32"/>
          <w:lang w:val="en-IN"/>
        </w:rPr>
        <w:t>ition.</w:t>
      </w:r>
    </w:p>
    <w:p w:rsidR="00000000" w:rsidRPr="00AC1373" w:rsidRDefault="00566C26" w:rsidP="00AC137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C1373">
        <w:rPr>
          <w:rFonts w:ascii="Times New Roman" w:hAnsi="Times New Roman" w:cs="Times New Roman"/>
          <w:sz w:val="32"/>
          <w:szCs w:val="32"/>
          <w:lang w:val="en-IN"/>
        </w:rPr>
        <w:t>The existing SG framework is combined with multiple design scenarios and varies based on the operational area or the deployed application.</w:t>
      </w:r>
    </w:p>
    <w:p w:rsidR="00000000" w:rsidRPr="00AC1373" w:rsidRDefault="00566C26" w:rsidP="00AC137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C1373">
        <w:rPr>
          <w:rFonts w:ascii="Times New Roman" w:hAnsi="Times New Roman" w:cs="Times New Roman"/>
          <w:sz w:val="32"/>
          <w:szCs w:val="32"/>
          <w:lang w:val="en-IN"/>
        </w:rPr>
        <w:t xml:space="preserve">This helps to motivate fervor and </w:t>
      </w:r>
      <w:r w:rsidRPr="00AC1373">
        <w:rPr>
          <w:rFonts w:ascii="Times New Roman" w:hAnsi="Times New Roman" w:cs="Times New Roman"/>
          <w:sz w:val="32"/>
          <w:szCs w:val="32"/>
          <w:lang w:val="en-IN"/>
        </w:rPr>
        <w:t>resources (both technical and capital) toward modernizing the existing electric grid infrastructure.</w:t>
      </w:r>
      <w:r w:rsidRPr="00AC137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C1373" w:rsidRDefault="00566C26" w:rsidP="00AC1373">
      <w:pPr>
        <w:numPr>
          <w:ilvl w:val="0"/>
          <w:numId w:val="45"/>
        </w:numPr>
        <w:spacing w:line="360" w:lineRule="auto"/>
        <w:jc w:val="both"/>
        <w:rPr>
          <w:rFonts w:ascii="Times New Roman" w:hAnsi="Times New Roman" w:cs="Times New Roman"/>
          <w:bCs/>
          <w:sz w:val="32"/>
          <w:szCs w:val="32"/>
          <w:lang w:val="en-IN"/>
        </w:rPr>
      </w:pPr>
      <w:r w:rsidRPr="00AC1373">
        <w:rPr>
          <w:rFonts w:ascii="Times New Roman" w:hAnsi="Times New Roman" w:cs="Times New Roman"/>
          <w:bCs/>
          <w:sz w:val="32"/>
          <w:szCs w:val="32"/>
          <w:lang w:val="en-IN"/>
        </w:rPr>
        <w:t>The proposed decentralized restoration scheme achieves independent decision-making of the TSO and DSOs in the coupled TS-DS system, and solves the non-co</w:t>
      </w:r>
      <w:r w:rsidRPr="00AC1373">
        <w:rPr>
          <w:rFonts w:ascii="Times New Roman" w:hAnsi="Times New Roman" w:cs="Times New Roman"/>
          <w:bCs/>
          <w:sz w:val="32"/>
          <w:szCs w:val="32"/>
          <w:lang w:val="en-IN"/>
        </w:rPr>
        <w:t>nvergence problem of the decentralized optimization method.</w:t>
      </w:r>
    </w:p>
    <w:p w:rsidR="00000000" w:rsidRPr="00AC1373" w:rsidRDefault="00566C26" w:rsidP="00AC1373">
      <w:pPr>
        <w:numPr>
          <w:ilvl w:val="0"/>
          <w:numId w:val="45"/>
        </w:numPr>
        <w:spacing w:line="360" w:lineRule="auto"/>
        <w:jc w:val="both"/>
        <w:rPr>
          <w:rFonts w:ascii="Times New Roman" w:hAnsi="Times New Roman" w:cs="Times New Roman"/>
          <w:bCs/>
          <w:sz w:val="32"/>
          <w:szCs w:val="32"/>
          <w:lang w:val="en-IN"/>
        </w:rPr>
      </w:pPr>
      <w:r w:rsidRPr="00AC1373">
        <w:rPr>
          <w:rFonts w:ascii="Times New Roman" w:hAnsi="Times New Roman" w:cs="Times New Roman"/>
          <w:bCs/>
          <w:sz w:val="32"/>
          <w:szCs w:val="32"/>
          <w:lang w:val="en-IN"/>
        </w:rPr>
        <w:t xml:space="preserve">According to the North American Electric Reliability Council (NERC) reports, about 72% of the restoration process was delayed due to coordination problems between different entities in the power </w:t>
      </w:r>
      <w:r w:rsidRPr="00AC1373">
        <w:rPr>
          <w:rFonts w:ascii="Times New Roman" w:hAnsi="Times New Roman" w:cs="Times New Roman"/>
          <w:bCs/>
          <w:sz w:val="32"/>
          <w:szCs w:val="32"/>
          <w:lang w:val="en-IN"/>
        </w:rPr>
        <w:t>system.</w:t>
      </w:r>
    </w:p>
    <w:p w:rsidR="00000000" w:rsidRPr="00AC1373" w:rsidRDefault="00566C26" w:rsidP="00AC1373">
      <w:pPr>
        <w:numPr>
          <w:ilvl w:val="0"/>
          <w:numId w:val="45"/>
        </w:numPr>
        <w:spacing w:line="360" w:lineRule="auto"/>
        <w:jc w:val="both"/>
        <w:rPr>
          <w:rFonts w:ascii="Times New Roman" w:hAnsi="Times New Roman" w:cs="Times New Roman"/>
          <w:bCs/>
          <w:sz w:val="32"/>
          <w:szCs w:val="32"/>
          <w:lang w:val="en-IN"/>
        </w:rPr>
      </w:pPr>
      <w:r w:rsidRPr="00AC1373">
        <w:rPr>
          <w:rFonts w:ascii="Times New Roman" w:hAnsi="Times New Roman" w:cs="Times New Roman"/>
          <w:bCs/>
          <w:sz w:val="32"/>
          <w:szCs w:val="32"/>
          <w:lang w:val="en-IN"/>
        </w:rPr>
        <w:lastRenderedPageBreak/>
        <w:t>The coordination of the TS-DS system has been studied in unit commitment , risk assessment  and economic dispatch problem</w:t>
      </w:r>
      <w:r w:rsidRPr="00AC1373">
        <w:rPr>
          <w:rFonts w:ascii="Times New Roman" w:hAnsi="Times New Roman" w:cs="Times New Roman"/>
          <w:bCs/>
          <w:sz w:val="32"/>
          <w:szCs w:val="32"/>
        </w:rPr>
        <w:t xml:space="preserve"> </w:t>
      </w:r>
    </w:p>
    <w:p w:rsidR="000B33B0" w:rsidRPr="00AC1373" w:rsidRDefault="006A300A" w:rsidP="00AC1373">
      <w:pPr>
        <w:spacing w:line="360" w:lineRule="auto"/>
        <w:jc w:val="both"/>
        <w:rPr>
          <w:rFonts w:ascii="Times New Roman" w:eastAsia="Times New Roman" w:hAnsi="Times New Roman" w:cs="Times New Roman"/>
          <w:sz w:val="32"/>
          <w:szCs w:val="32"/>
        </w:rPr>
      </w:pPr>
      <w:r w:rsidRPr="00AC1373">
        <w:rPr>
          <w:rFonts w:ascii="Times New Roman" w:hAnsi="Times New Roman" w:cs="Times New Roman"/>
          <w:b/>
          <w:sz w:val="36"/>
          <w:szCs w:val="36"/>
        </w:rPr>
        <w:t xml:space="preserve">2.2. PROPOSED </w:t>
      </w:r>
      <w:r w:rsidR="000B33B0" w:rsidRPr="00AC1373">
        <w:rPr>
          <w:rFonts w:ascii="Times New Roman" w:hAnsi="Times New Roman" w:cs="Times New Roman"/>
          <w:b/>
          <w:sz w:val="36"/>
          <w:szCs w:val="36"/>
        </w:rPr>
        <w:t xml:space="preserve">SYSTEM </w:t>
      </w:r>
    </w:p>
    <w:p w:rsidR="00AC1373" w:rsidRPr="00AC1373" w:rsidRDefault="00AC1373" w:rsidP="00AC1373">
      <w:pPr>
        <w:pStyle w:val="NormalWeb"/>
        <w:numPr>
          <w:ilvl w:val="0"/>
          <w:numId w:val="46"/>
        </w:numPr>
        <w:spacing w:before="0" w:beforeAutospacing="0" w:after="0" w:afterAutospacing="0" w:line="360" w:lineRule="auto"/>
        <w:ind w:left="142" w:firstLine="0"/>
        <w:jc w:val="both"/>
        <w:rPr>
          <w:sz w:val="32"/>
          <w:szCs w:val="32"/>
        </w:rPr>
      </w:pPr>
      <w:r w:rsidRPr="00AC1373">
        <w:rPr>
          <w:sz w:val="32"/>
          <w:szCs w:val="32"/>
        </w:rPr>
        <w:t xml:space="preserve">The HPG plants work by using the power of falling water (usually in the dam) to turn a water turbine connected to a generator, which produces electricity. </w:t>
      </w:r>
    </w:p>
    <w:p w:rsidR="00AC1373" w:rsidRPr="00AC1373" w:rsidRDefault="00AC1373" w:rsidP="00AC1373">
      <w:pPr>
        <w:pStyle w:val="NormalWeb"/>
        <w:numPr>
          <w:ilvl w:val="0"/>
          <w:numId w:val="46"/>
        </w:numPr>
        <w:spacing w:before="0" w:beforeAutospacing="0" w:after="0" w:afterAutospacing="0" w:line="360" w:lineRule="auto"/>
        <w:ind w:left="142" w:firstLine="0"/>
        <w:jc w:val="both"/>
        <w:rPr>
          <w:sz w:val="32"/>
          <w:szCs w:val="32"/>
        </w:rPr>
      </w:pPr>
      <w:r w:rsidRPr="00AC1373">
        <w:rPr>
          <w:sz w:val="32"/>
          <w:szCs w:val="32"/>
        </w:rPr>
        <w:t>HPG is considered one of the RE technologies because the water cycle is endless and can be reused for power generation and serve other purposes.</w:t>
      </w:r>
    </w:p>
    <w:p w:rsidR="00AC1373" w:rsidRPr="00AC1373" w:rsidRDefault="00AC1373" w:rsidP="00AC1373">
      <w:pPr>
        <w:pStyle w:val="NormalWeb"/>
        <w:numPr>
          <w:ilvl w:val="0"/>
          <w:numId w:val="46"/>
        </w:numPr>
        <w:spacing w:before="0" w:beforeAutospacing="0" w:after="0" w:afterAutospacing="0" w:line="360" w:lineRule="auto"/>
        <w:ind w:left="142" w:firstLine="0"/>
        <w:jc w:val="both"/>
        <w:rPr>
          <w:sz w:val="32"/>
          <w:szCs w:val="32"/>
        </w:rPr>
      </w:pPr>
      <w:r w:rsidRPr="00AC1373">
        <w:rPr>
          <w:sz w:val="32"/>
          <w:szCs w:val="32"/>
        </w:rPr>
        <w:t>In the traditional approach, technicians go physically to power equipment/systems to collect data and consumer’s terminal to take readings on a periodical basis for system monitoring and billing purposes.</w:t>
      </w:r>
    </w:p>
    <w:p w:rsidR="00BB3207" w:rsidRDefault="00AC1373" w:rsidP="00AC1373">
      <w:pPr>
        <w:pStyle w:val="NormalWeb"/>
        <w:numPr>
          <w:ilvl w:val="0"/>
          <w:numId w:val="46"/>
        </w:numPr>
        <w:spacing w:before="0" w:beforeAutospacing="0" w:after="0" w:afterAutospacing="0" w:line="360" w:lineRule="auto"/>
        <w:ind w:left="142" w:firstLine="0"/>
        <w:jc w:val="both"/>
        <w:rPr>
          <w:sz w:val="32"/>
          <w:szCs w:val="32"/>
        </w:rPr>
      </w:pPr>
      <w:r w:rsidRPr="00AC1373">
        <w:rPr>
          <w:sz w:val="32"/>
          <w:szCs w:val="32"/>
        </w:rPr>
        <w:t>SG is a collection of existing and emerging technologies working together to monitor and manage the ESN properly.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C1373" w:rsidRDefault="00566C26" w:rsidP="00AC137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1373">
        <w:rPr>
          <w:rFonts w:ascii="Times New Roman" w:eastAsia="AdvGulliv-R" w:hAnsi="Times New Roman" w:cs="Times New Roman"/>
          <w:bCs/>
          <w:sz w:val="32"/>
          <w:szCs w:val="32"/>
          <w:lang w:val="en-IN"/>
        </w:rPr>
        <w:t>The better performance depends on the efficient matching of power supply and demand by the coordination in the TS-DS syste</w:t>
      </w:r>
      <w:r w:rsidRPr="00AC1373">
        <w:rPr>
          <w:rFonts w:ascii="Times New Roman" w:eastAsia="AdvGulliv-R" w:hAnsi="Times New Roman" w:cs="Times New Roman"/>
          <w:bCs/>
          <w:sz w:val="32"/>
          <w:szCs w:val="32"/>
          <w:lang w:val="en-IN"/>
        </w:rPr>
        <w:t xml:space="preserve">m. </w:t>
      </w:r>
    </w:p>
    <w:p w:rsidR="00000000" w:rsidRPr="00AC1373" w:rsidRDefault="00566C26" w:rsidP="00AC137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1373">
        <w:rPr>
          <w:rFonts w:ascii="Times New Roman" w:eastAsia="AdvGulliv-R" w:hAnsi="Times New Roman" w:cs="Times New Roman"/>
          <w:bCs/>
          <w:sz w:val="32"/>
          <w:szCs w:val="32"/>
          <w:lang w:val="en-IN"/>
        </w:rPr>
        <w:t>That means although decisions are made in a decentralized way, the overall system performance target can still be achieved.</w:t>
      </w:r>
    </w:p>
    <w:p w:rsidR="00000000" w:rsidRPr="00AC1373" w:rsidRDefault="00566C26" w:rsidP="00AC137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1373">
        <w:rPr>
          <w:rFonts w:ascii="Times New Roman" w:eastAsia="AdvGulliv-R" w:hAnsi="Times New Roman" w:cs="Times New Roman"/>
          <w:bCs/>
          <w:sz w:val="32"/>
          <w:szCs w:val="32"/>
          <w:lang w:val="en-IN"/>
        </w:rPr>
        <w:t>Therefore, the result is infeasible although the objective values ATC2_F is better than the centralized optimization. In summa</w:t>
      </w:r>
      <w:r w:rsidRPr="00AC1373">
        <w:rPr>
          <w:rFonts w:ascii="Times New Roman" w:eastAsia="AdvGulliv-R" w:hAnsi="Times New Roman" w:cs="Times New Roman"/>
          <w:bCs/>
          <w:sz w:val="32"/>
          <w:szCs w:val="32"/>
          <w:lang w:val="en-IN"/>
        </w:rPr>
        <w:t xml:space="preserve">ry, </w:t>
      </w:r>
      <w:r w:rsidRPr="00AC1373">
        <w:rPr>
          <w:rFonts w:ascii="Times New Roman" w:eastAsia="AdvGulliv-R" w:hAnsi="Times New Roman" w:cs="Times New Roman"/>
          <w:bCs/>
          <w:sz w:val="32"/>
          <w:szCs w:val="32"/>
          <w:lang w:val="en-IN"/>
        </w:rPr>
        <w:lastRenderedPageBreak/>
        <w:t>the TL_ATC method not only has better convergence performance but also improves the restoration strategy by a 28.08 MW increase of the objective function value.</w:t>
      </w:r>
    </w:p>
    <w:p w:rsidR="00000000" w:rsidRPr="00AC1373" w:rsidRDefault="00566C26" w:rsidP="00AC137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1373">
        <w:rPr>
          <w:rFonts w:ascii="Times New Roman" w:eastAsia="AdvGulliv-R" w:hAnsi="Times New Roman" w:cs="Times New Roman"/>
          <w:bCs/>
          <w:sz w:val="32"/>
          <w:szCs w:val="32"/>
          <w:lang w:val="en-IN"/>
        </w:rPr>
        <w:t>Even though a positive assumption (DGs have the largest output) is made in the conventiona</w:t>
      </w:r>
      <w:r w:rsidRPr="00AC1373">
        <w:rPr>
          <w:rFonts w:ascii="Times New Roman" w:eastAsia="AdvGulliv-R" w:hAnsi="Times New Roman" w:cs="Times New Roman"/>
          <w:bCs/>
          <w:sz w:val="32"/>
          <w:szCs w:val="32"/>
          <w:lang w:val="en-IN"/>
        </w:rPr>
        <w:t xml:space="preserve">l restoration method, the coordinated one still has better performance.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C1373" w:rsidRDefault="00AC1373" w:rsidP="00E53AA4">
            <w:pPr>
              <w:tabs>
                <w:tab w:val="left" w:pos="720"/>
              </w:tabs>
              <w:spacing w:after="100" w:line="360" w:lineRule="auto"/>
              <w:jc w:val="both"/>
              <w:rPr>
                <w:rFonts w:ascii="Times New Roman" w:hAnsi="Times New Roman" w:cs="Times New Roman"/>
                <w:sz w:val="28"/>
                <w:szCs w:val="28"/>
              </w:rPr>
            </w:pPr>
            <w:r w:rsidRPr="00AC1373">
              <w:rPr>
                <w:rFonts w:ascii="Times New Roman" w:hAnsi="Times New Roman" w:cs="Times New Roman"/>
                <w:sz w:val="28"/>
                <w:szCs w:val="28"/>
              </w:rPr>
              <w:t>Power system restoration—A task force report</w:t>
            </w:r>
          </w:p>
        </w:tc>
        <w:tc>
          <w:tcPr>
            <w:tcW w:w="3192" w:type="dxa"/>
          </w:tcPr>
          <w:p w:rsidR="000C407B" w:rsidRPr="00AC1373" w:rsidRDefault="00AC1373" w:rsidP="00AC1373">
            <w:pPr>
              <w:tabs>
                <w:tab w:val="left" w:pos="720"/>
              </w:tabs>
              <w:spacing w:after="100" w:line="360" w:lineRule="auto"/>
              <w:jc w:val="both"/>
              <w:rPr>
                <w:rFonts w:ascii="Times New Roman" w:hAnsi="Times New Roman" w:cs="Times New Roman"/>
                <w:sz w:val="28"/>
                <w:szCs w:val="28"/>
              </w:rPr>
            </w:pPr>
            <w:r w:rsidRPr="00AC1373">
              <w:rPr>
                <w:rFonts w:ascii="Times New Roman" w:hAnsi="Times New Roman" w:cs="Times New Roman"/>
                <w:sz w:val="28"/>
                <w:szCs w:val="28"/>
              </w:rPr>
              <w:t xml:space="preserve">M. Adibi et al., </w:t>
            </w:r>
          </w:p>
        </w:tc>
        <w:tc>
          <w:tcPr>
            <w:tcW w:w="3192" w:type="dxa"/>
          </w:tcPr>
          <w:p w:rsidR="000C407B" w:rsidRPr="00AC1373" w:rsidRDefault="00AC1373" w:rsidP="00E53AA4">
            <w:pPr>
              <w:tabs>
                <w:tab w:val="left" w:pos="720"/>
              </w:tabs>
              <w:spacing w:after="100" w:line="360" w:lineRule="auto"/>
              <w:jc w:val="both"/>
              <w:rPr>
                <w:rFonts w:ascii="Times New Roman" w:hAnsi="Times New Roman" w:cs="Times New Roman"/>
                <w:sz w:val="28"/>
                <w:szCs w:val="28"/>
              </w:rPr>
            </w:pPr>
            <w:r w:rsidRPr="00AC1373">
              <w:rPr>
                <w:rFonts w:ascii="Times New Roman" w:hAnsi="Times New Roman" w:cs="Times New Roman"/>
                <w:color w:val="333333"/>
                <w:sz w:val="28"/>
                <w:szCs w:val="28"/>
                <w:shd w:val="clear" w:color="auto" w:fill="FFFFFF"/>
              </w:rPr>
              <w:t>Many electric utilities have developed over the years system restoration schemes that meet the needs of their particular systems.</w:t>
            </w:r>
          </w:p>
        </w:tc>
      </w:tr>
      <w:tr w:rsidR="000C407B" w:rsidTr="000C407B">
        <w:trPr>
          <w:trHeight w:val="2942"/>
        </w:trPr>
        <w:tc>
          <w:tcPr>
            <w:tcW w:w="3192" w:type="dxa"/>
          </w:tcPr>
          <w:p w:rsidR="000C407B" w:rsidRPr="00AC1373" w:rsidRDefault="00AC1373" w:rsidP="00E53AA4">
            <w:pPr>
              <w:tabs>
                <w:tab w:val="left" w:pos="720"/>
              </w:tabs>
              <w:spacing w:after="100" w:line="360" w:lineRule="auto"/>
              <w:jc w:val="both"/>
              <w:rPr>
                <w:rFonts w:ascii="Times New Roman" w:hAnsi="Times New Roman" w:cs="Times New Roman"/>
                <w:sz w:val="28"/>
                <w:szCs w:val="28"/>
              </w:rPr>
            </w:pPr>
            <w:r w:rsidRPr="00AC1373">
              <w:rPr>
                <w:rFonts w:ascii="Times New Roman" w:hAnsi="Times New Roman" w:cs="Times New Roman"/>
                <w:sz w:val="28"/>
                <w:szCs w:val="28"/>
              </w:rPr>
              <w:t>Power systems resilience assessment: Hardening and smart operational enhancement strategies</w:t>
            </w:r>
          </w:p>
        </w:tc>
        <w:tc>
          <w:tcPr>
            <w:tcW w:w="3192" w:type="dxa"/>
          </w:tcPr>
          <w:p w:rsidR="000C407B" w:rsidRPr="00AC1373" w:rsidRDefault="00AC1373" w:rsidP="00AC1373">
            <w:pPr>
              <w:tabs>
                <w:tab w:val="left" w:pos="720"/>
              </w:tabs>
              <w:spacing w:after="100" w:line="360" w:lineRule="auto"/>
              <w:jc w:val="both"/>
              <w:rPr>
                <w:rFonts w:ascii="Times New Roman" w:hAnsi="Times New Roman" w:cs="Times New Roman"/>
                <w:sz w:val="28"/>
                <w:szCs w:val="28"/>
              </w:rPr>
            </w:pPr>
            <w:r w:rsidRPr="00AC1373">
              <w:rPr>
                <w:rFonts w:ascii="Times New Roman" w:hAnsi="Times New Roman" w:cs="Times New Roman"/>
                <w:sz w:val="28"/>
                <w:szCs w:val="28"/>
              </w:rPr>
              <w:t xml:space="preserve">M. Panteli, D. N. Trakas, P. Mancarella, and N. D. Hatziargyriou, </w:t>
            </w:r>
          </w:p>
        </w:tc>
        <w:tc>
          <w:tcPr>
            <w:tcW w:w="3192" w:type="dxa"/>
          </w:tcPr>
          <w:p w:rsidR="000C407B" w:rsidRPr="00AC1373" w:rsidRDefault="00AC1373" w:rsidP="00E53AA4">
            <w:pPr>
              <w:tabs>
                <w:tab w:val="left" w:pos="720"/>
              </w:tabs>
              <w:spacing w:after="100" w:line="360" w:lineRule="auto"/>
              <w:jc w:val="both"/>
              <w:rPr>
                <w:rFonts w:ascii="Times New Roman" w:hAnsi="Times New Roman" w:cs="Times New Roman"/>
                <w:sz w:val="28"/>
                <w:szCs w:val="28"/>
              </w:rPr>
            </w:pPr>
            <w:r w:rsidRPr="00AC1373">
              <w:rPr>
                <w:rFonts w:ascii="Times New Roman" w:hAnsi="Times New Roman" w:cs="Times New Roman"/>
                <w:color w:val="333333"/>
                <w:sz w:val="28"/>
                <w:szCs w:val="28"/>
                <w:shd w:val="clear" w:color="auto" w:fill="FFFFFF"/>
              </w:rPr>
              <w:t>Power systems have typically been designed to be reliable to expected, low-impact high-frequency outages.</w:t>
            </w:r>
          </w:p>
        </w:tc>
      </w:tr>
      <w:tr w:rsidR="000C407B" w:rsidTr="000C407B">
        <w:tc>
          <w:tcPr>
            <w:tcW w:w="3192" w:type="dxa"/>
          </w:tcPr>
          <w:p w:rsidR="000C407B" w:rsidRPr="00AC1373" w:rsidRDefault="00AC1373" w:rsidP="00E53AA4">
            <w:pPr>
              <w:tabs>
                <w:tab w:val="left" w:pos="720"/>
              </w:tabs>
              <w:spacing w:after="100" w:line="360" w:lineRule="auto"/>
              <w:jc w:val="both"/>
              <w:rPr>
                <w:rFonts w:ascii="Times New Roman" w:hAnsi="Times New Roman" w:cs="Times New Roman"/>
                <w:sz w:val="28"/>
                <w:szCs w:val="28"/>
              </w:rPr>
            </w:pPr>
            <w:r w:rsidRPr="00AC1373">
              <w:rPr>
                <w:rFonts w:ascii="Times New Roman" w:hAnsi="Times New Roman" w:cs="Times New Roman"/>
                <w:sz w:val="28"/>
                <w:szCs w:val="28"/>
              </w:rPr>
              <w:t>Overcoming restoration challenges associated with major power system disturbances-restoration from cascading failures</w:t>
            </w:r>
          </w:p>
        </w:tc>
        <w:tc>
          <w:tcPr>
            <w:tcW w:w="3192" w:type="dxa"/>
          </w:tcPr>
          <w:p w:rsidR="000C407B" w:rsidRPr="00AC1373" w:rsidRDefault="00AC1373" w:rsidP="00AC1373">
            <w:pPr>
              <w:tabs>
                <w:tab w:val="left" w:pos="720"/>
              </w:tabs>
              <w:spacing w:after="100" w:line="360" w:lineRule="auto"/>
              <w:jc w:val="both"/>
              <w:rPr>
                <w:rFonts w:ascii="Times New Roman" w:hAnsi="Times New Roman" w:cs="Times New Roman"/>
                <w:sz w:val="28"/>
                <w:szCs w:val="28"/>
              </w:rPr>
            </w:pPr>
            <w:r w:rsidRPr="00AC1373">
              <w:rPr>
                <w:rFonts w:ascii="Times New Roman" w:hAnsi="Times New Roman" w:cs="Times New Roman"/>
                <w:sz w:val="28"/>
                <w:szCs w:val="28"/>
              </w:rPr>
              <w:t xml:space="preserve">M. M. Adibi and L. H. Fink, </w:t>
            </w:r>
          </w:p>
        </w:tc>
        <w:tc>
          <w:tcPr>
            <w:tcW w:w="3192" w:type="dxa"/>
          </w:tcPr>
          <w:p w:rsidR="000C407B" w:rsidRPr="00AC1373" w:rsidRDefault="00AC1373" w:rsidP="00E53AA4">
            <w:pPr>
              <w:tabs>
                <w:tab w:val="left" w:pos="720"/>
              </w:tabs>
              <w:spacing w:after="100" w:line="360" w:lineRule="auto"/>
              <w:jc w:val="both"/>
              <w:rPr>
                <w:rFonts w:ascii="Times New Roman" w:hAnsi="Times New Roman" w:cs="Times New Roman"/>
                <w:sz w:val="28"/>
                <w:szCs w:val="28"/>
              </w:rPr>
            </w:pPr>
            <w:r w:rsidRPr="00AC1373">
              <w:rPr>
                <w:rFonts w:ascii="Times New Roman" w:hAnsi="Times New Roman" w:cs="Times New Roman"/>
                <w:color w:val="333333"/>
                <w:sz w:val="28"/>
                <w:szCs w:val="28"/>
                <w:shd w:val="clear" w:color="auto" w:fill="FFFFFF"/>
              </w:rPr>
              <w:t>These failures clearly indicate a need for renewed emphasis on developing restoration methodologies and implementation plans</w:t>
            </w:r>
          </w:p>
        </w:tc>
      </w:tr>
      <w:tr w:rsidR="000C407B" w:rsidTr="000C407B">
        <w:tc>
          <w:tcPr>
            <w:tcW w:w="3192" w:type="dxa"/>
          </w:tcPr>
          <w:p w:rsidR="000C407B" w:rsidRPr="00AC1373" w:rsidRDefault="00AC1373" w:rsidP="00E53AA4">
            <w:pPr>
              <w:tabs>
                <w:tab w:val="left" w:pos="720"/>
              </w:tabs>
              <w:spacing w:after="100" w:line="360" w:lineRule="auto"/>
              <w:jc w:val="both"/>
              <w:rPr>
                <w:rFonts w:ascii="Times New Roman" w:hAnsi="Times New Roman" w:cs="Times New Roman"/>
                <w:sz w:val="28"/>
                <w:szCs w:val="28"/>
              </w:rPr>
            </w:pPr>
            <w:r w:rsidRPr="00AC1373">
              <w:rPr>
                <w:rFonts w:ascii="Times New Roman" w:hAnsi="Times New Roman" w:cs="Times New Roman"/>
                <w:sz w:val="28"/>
                <w:szCs w:val="28"/>
              </w:rPr>
              <w:lastRenderedPageBreak/>
              <w:t>Modernizing distribution system restoration to active grid resiliency against extreme weather events: An integrated solution</w:t>
            </w:r>
          </w:p>
        </w:tc>
        <w:tc>
          <w:tcPr>
            <w:tcW w:w="3192" w:type="dxa"/>
          </w:tcPr>
          <w:p w:rsidR="000C407B" w:rsidRPr="00AC1373" w:rsidRDefault="00AC1373" w:rsidP="00AC1373">
            <w:pPr>
              <w:tabs>
                <w:tab w:val="left" w:pos="720"/>
              </w:tabs>
              <w:spacing w:after="100" w:line="360" w:lineRule="auto"/>
              <w:jc w:val="both"/>
              <w:rPr>
                <w:rFonts w:ascii="Times New Roman" w:hAnsi="Times New Roman" w:cs="Times New Roman"/>
                <w:sz w:val="28"/>
                <w:szCs w:val="28"/>
              </w:rPr>
            </w:pPr>
            <w:r w:rsidRPr="00AC1373">
              <w:rPr>
                <w:rFonts w:ascii="Times New Roman" w:hAnsi="Times New Roman" w:cs="Times New Roman"/>
                <w:sz w:val="28"/>
                <w:szCs w:val="28"/>
              </w:rPr>
              <w:t xml:space="preserve">C. Chen, J. Wang, and D. Ton, </w:t>
            </w:r>
          </w:p>
        </w:tc>
        <w:tc>
          <w:tcPr>
            <w:tcW w:w="3192" w:type="dxa"/>
          </w:tcPr>
          <w:p w:rsidR="000C407B" w:rsidRPr="00AC1373" w:rsidRDefault="00AC1373" w:rsidP="00E53AA4">
            <w:pPr>
              <w:tabs>
                <w:tab w:val="left" w:pos="720"/>
              </w:tabs>
              <w:spacing w:after="100" w:line="360" w:lineRule="auto"/>
              <w:jc w:val="both"/>
              <w:rPr>
                <w:rFonts w:ascii="Times New Roman" w:hAnsi="Times New Roman" w:cs="Times New Roman"/>
                <w:sz w:val="28"/>
                <w:szCs w:val="28"/>
              </w:rPr>
            </w:pPr>
            <w:r w:rsidRPr="00AC1373">
              <w:rPr>
                <w:rFonts w:ascii="Times New Roman" w:hAnsi="Times New Roman" w:cs="Times New Roman"/>
                <w:color w:val="333333"/>
                <w:sz w:val="28"/>
                <w:szCs w:val="28"/>
                <w:shd w:val="clear" w:color="auto" w:fill="FFFFFF"/>
              </w:rPr>
              <w:t>The paper provides a comprehensive review of how the existing methodologies in the literature could be leveraged to achieve the key advantages.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7EA8" w:rsidRDefault="00447EA8" w:rsidP="00447EA8"/>
    <w:p w:rsidR="00447EA8" w:rsidRPr="00447EA8" w:rsidRDefault="00447EA8" w:rsidP="00447EA8"/>
    <w:p w:rsidR="00305BF0" w:rsidRPr="00D81E16" w:rsidRDefault="00305BF0" w:rsidP="00447EA8">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447EA8" w:rsidRDefault="00405E73" w:rsidP="00E53AA4">
      <w:pPr>
        <w:spacing w:after="0" w:line="360" w:lineRule="auto"/>
        <w:jc w:val="both"/>
        <w:rPr>
          <w:rFonts w:ascii="Times New Roman" w:hAnsi="Times New Roman" w:cs="Times New Roman"/>
          <w:b/>
          <w:sz w:val="40"/>
          <w:szCs w:val="40"/>
        </w:rPr>
      </w:pPr>
      <w:r w:rsidRPr="00447EA8">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3164F9" w:rsidP="00E53AA4">
      <w:pPr>
        <w:spacing w:after="0" w:line="360" w:lineRule="auto"/>
        <w:jc w:val="both"/>
        <w:rPr>
          <w:rFonts w:ascii="Times New Roman" w:hAnsi="Times New Roman" w:cs="Times New Roman"/>
        </w:rPr>
      </w:pPr>
      <w:r w:rsidRPr="003164F9">
        <w:rPr>
          <w:rFonts w:ascii="Times New Roman" w:hAnsi="Times New Roman" w:cs="Times New Roman"/>
        </w:rPr>
        <w:drawing>
          <wp:inline distT="0" distB="0" distL="0" distR="0">
            <wp:extent cx="5943600" cy="4354195"/>
            <wp:effectExtent l="19050" t="0" r="0" b="0"/>
            <wp:docPr id="2"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4.jpg"/>
                    <pic:cNvPicPr>
                      <a:picLocks noGrp="1" noChangeAspect="1" noChangeArrowheads="1"/>
                    </pic:cNvPicPr>
                  </pic:nvPicPr>
                  <pic:blipFill>
                    <a:blip r:embed="rId8"/>
                    <a:srcRect/>
                    <a:stretch>
                      <a:fillRect/>
                    </a:stretch>
                  </pic:blipFill>
                  <pic:spPr bwMode="auto">
                    <a:xfrm>
                      <a:off x="0" y="0"/>
                      <a:ext cx="5943600" cy="43541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447EA8" w:rsidRDefault="00447EA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447EA8" w:rsidRDefault="00447EA8" w:rsidP="00E53AA4">
      <w:pPr>
        <w:tabs>
          <w:tab w:val="left" w:pos="1309"/>
          <w:tab w:val="center" w:pos="4680"/>
        </w:tabs>
        <w:spacing w:line="360" w:lineRule="auto"/>
        <w:jc w:val="both"/>
        <w:rPr>
          <w:rFonts w:ascii="Times New Roman" w:hAnsi="Times New Roman" w:cs="Times New Roman"/>
          <w:b/>
          <w:sz w:val="40"/>
          <w:szCs w:val="40"/>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47EA8" w:rsidRPr="00447EA8" w:rsidRDefault="00447EA8" w:rsidP="00447EA8">
      <w:pPr>
        <w:pStyle w:val="BodyText"/>
        <w:rPr>
          <w:bCs/>
          <w:iCs/>
          <w:sz w:val="32"/>
          <w:szCs w:val="32"/>
          <w:lang w:val="en-IN"/>
        </w:rPr>
      </w:pPr>
      <w:r w:rsidRPr="00447EA8">
        <w:rPr>
          <w:bCs/>
          <w:iCs/>
          <w:sz w:val="32"/>
          <w:szCs w:val="32"/>
          <w:lang w:val="en-IN"/>
        </w:rPr>
        <w:t xml:space="preserve">    A new coordinated restoration of the TS and DSs is presented  considering the operation of DSs in the bulk system restoratio. A decentralized restoration scheme, which contains the decentralized decision-making framework and the TL_ATC decentralized optimization method, is designed to achieve the coordinated restoration.With the decentralized decision-making framework, the coupled TS-DS restoration system can be coordinated by independent optimization of subsystems and simple information interaction between TSO and DSOs. The TL_ATC method provides reliable decentralized restoration strategy by guaranteeing the convergence of decentralized optimization with non-convex models. The case study demonstrates the detailed coordinated restoration process and the superiority of the TL_ATC method. By applying the proposed method to a real-world system, the coordinated restoration is proved to be more efficient to enhance resilience than the conventional one.</w:t>
      </w:r>
      <w:r w:rsidRPr="00447EA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47EA8" w:rsidRDefault="00447EA8" w:rsidP="00E53AA4">
      <w:pPr>
        <w:pStyle w:val="BodyText"/>
        <w:rPr>
          <w:b/>
          <w:iCs/>
          <w:sz w:val="28"/>
          <w:szCs w:val="28"/>
        </w:rPr>
      </w:pPr>
    </w:p>
    <w:p w:rsidR="00447EA8" w:rsidRDefault="00447EA8" w:rsidP="00E53AA4">
      <w:pPr>
        <w:pStyle w:val="BodyText"/>
        <w:rPr>
          <w:b/>
          <w:iCs/>
          <w:sz w:val="28"/>
          <w:szCs w:val="28"/>
        </w:rPr>
      </w:pPr>
    </w:p>
    <w:p w:rsidR="00447EA8" w:rsidRDefault="00447EA8" w:rsidP="00E53AA4">
      <w:pPr>
        <w:pStyle w:val="BodyText"/>
        <w:rPr>
          <w:b/>
          <w:iCs/>
          <w:sz w:val="28"/>
          <w:szCs w:val="28"/>
        </w:rPr>
      </w:pPr>
    </w:p>
    <w:p w:rsidR="00447EA8" w:rsidRDefault="00447EA8" w:rsidP="00E53AA4">
      <w:pPr>
        <w:pStyle w:val="BodyText"/>
        <w:rPr>
          <w:b/>
          <w:iCs/>
          <w:sz w:val="28"/>
          <w:szCs w:val="28"/>
        </w:rPr>
      </w:pPr>
    </w:p>
    <w:p w:rsidR="00447EA8" w:rsidRDefault="00447EA8" w:rsidP="00E53AA4">
      <w:pPr>
        <w:pStyle w:val="BodyText"/>
        <w:rPr>
          <w:b/>
          <w:iCs/>
          <w:sz w:val="28"/>
          <w:szCs w:val="28"/>
        </w:rPr>
      </w:pPr>
    </w:p>
    <w:p w:rsidR="00447EA8" w:rsidRDefault="00447EA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47EA8" w:rsidRDefault="00566C26" w:rsidP="00447EA8">
      <w:pPr>
        <w:pStyle w:val="BodyText"/>
        <w:numPr>
          <w:ilvl w:val="0"/>
          <w:numId w:val="42"/>
        </w:numPr>
        <w:rPr>
          <w:sz w:val="32"/>
          <w:szCs w:val="32"/>
          <w:lang w:val="en-IN"/>
        </w:rPr>
      </w:pPr>
      <w:r w:rsidRPr="00447EA8">
        <w:rPr>
          <w:sz w:val="32"/>
          <w:szCs w:val="32"/>
          <w:lang w:val="en-IN"/>
        </w:rPr>
        <w:t>[1] M. Adibi et al., “Power system restoration</w:t>
      </w:r>
      <w:r w:rsidRPr="00447EA8">
        <w:rPr>
          <w:sz w:val="32"/>
          <w:szCs w:val="32"/>
          <w:lang w:val="en-IN"/>
        </w:rPr>
        <w:t xml:space="preserve">—A task force report,” IEEE Trans. Power Syst., vol. PWRS-2, no. 2, pp. 271–277, May 1987. </w:t>
      </w:r>
    </w:p>
    <w:p w:rsidR="00000000" w:rsidRPr="00447EA8" w:rsidRDefault="00566C26" w:rsidP="00447EA8">
      <w:pPr>
        <w:pStyle w:val="BodyText"/>
        <w:numPr>
          <w:ilvl w:val="0"/>
          <w:numId w:val="42"/>
        </w:numPr>
        <w:rPr>
          <w:sz w:val="32"/>
          <w:szCs w:val="32"/>
          <w:lang w:val="en-IN"/>
        </w:rPr>
      </w:pPr>
      <w:r w:rsidRPr="00447EA8">
        <w:rPr>
          <w:sz w:val="32"/>
          <w:szCs w:val="32"/>
          <w:lang w:val="en-IN"/>
        </w:rPr>
        <w:t>[2] M. Panteli, D. N. Trakas, P. Mancarella, and N. D. Hatziargyriou, “Power systems resilience assessment: Hardening and smart operational enhancement strategies,</w:t>
      </w:r>
      <w:r w:rsidRPr="00447EA8">
        <w:rPr>
          <w:sz w:val="32"/>
          <w:szCs w:val="32"/>
          <w:lang w:val="en-IN"/>
        </w:rPr>
        <w:t xml:space="preserve">” Proc. IEEE, vol. 105, no. 7, pp. 1202–1213, Jul. 2017. </w:t>
      </w:r>
    </w:p>
    <w:p w:rsidR="00000000" w:rsidRPr="00447EA8" w:rsidRDefault="00566C26" w:rsidP="00447EA8">
      <w:pPr>
        <w:pStyle w:val="BodyText"/>
        <w:numPr>
          <w:ilvl w:val="0"/>
          <w:numId w:val="42"/>
        </w:numPr>
        <w:rPr>
          <w:sz w:val="32"/>
          <w:szCs w:val="32"/>
          <w:lang w:val="en-IN"/>
        </w:rPr>
      </w:pPr>
      <w:r w:rsidRPr="00447EA8">
        <w:rPr>
          <w:sz w:val="32"/>
          <w:szCs w:val="32"/>
          <w:lang w:val="en-IN"/>
        </w:rPr>
        <w:t>[3] M. M. Adibi and L. H. Fink, “Overcoming restoration challenges associated with major power system disturbances-restoration from cascading failures,” IEEE Power Energy Mag., vol. 4, no. 5, pp. 6</w:t>
      </w:r>
      <w:r w:rsidRPr="00447EA8">
        <w:rPr>
          <w:sz w:val="32"/>
          <w:szCs w:val="32"/>
          <w:lang w:val="en-IN"/>
        </w:rPr>
        <w:t xml:space="preserve">8–77, Sep./Oct. 2006. </w:t>
      </w:r>
    </w:p>
    <w:p w:rsidR="00000000" w:rsidRPr="00447EA8" w:rsidRDefault="00566C26" w:rsidP="00447EA8">
      <w:pPr>
        <w:pStyle w:val="BodyText"/>
        <w:numPr>
          <w:ilvl w:val="0"/>
          <w:numId w:val="42"/>
        </w:numPr>
        <w:rPr>
          <w:sz w:val="32"/>
          <w:szCs w:val="32"/>
          <w:lang w:val="en-IN"/>
        </w:rPr>
      </w:pPr>
      <w:r w:rsidRPr="00447EA8">
        <w:rPr>
          <w:sz w:val="32"/>
          <w:szCs w:val="32"/>
          <w:lang w:val="en-IN"/>
        </w:rPr>
        <w:t xml:space="preserve">[4] MISO Power System Restoration Plan, 2016. [Online]. Available: https://www.misoenergy.org/Library/Repository/Procedure/RTO-PSR001MISOPowerSystemRestorationPlanManualVolumeIVersion9.1.pdf </w:t>
      </w:r>
    </w:p>
    <w:p w:rsidR="00000000" w:rsidRPr="00447EA8" w:rsidRDefault="00566C26" w:rsidP="00447EA8">
      <w:pPr>
        <w:pStyle w:val="BodyText"/>
        <w:numPr>
          <w:ilvl w:val="0"/>
          <w:numId w:val="42"/>
        </w:numPr>
        <w:rPr>
          <w:sz w:val="32"/>
          <w:szCs w:val="32"/>
          <w:lang w:val="en-IN"/>
        </w:rPr>
      </w:pPr>
      <w:r w:rsidRPr="00447EA8">
        <w:rPr>
          <w:sz w:val="32"/>
          <w:szCs w:val="32"/>
          <w:lang w:val="en-IN"/>
        </w:rPr>
        <w:t>[5] FERC/NERC Staff Report on the Septe</w:t>
      </w:r>
      <w:r w:rsidRPr="00447EA8">
        <w:rPr>
          <w:sz w:val="32"/>
          <w:szCs w:val="32"/>
          <w:lang w:val="en-IN"/>
        </w:rPr>
        <w:t>mber 8, 2011 Blackout Event, 2011. [Online]. Available: https://www.ferc.gov/legal/staff-reports/04-27-2012- ferc-nerc-report.pdf</w:t>
      </w:r>
      <w:r w:rsidRPr="00447EA8">
        <w:rPr>
          <w:sz w:val="32"/>
          <w:szCs w:val="32"/>
        </w:rPr>
        <w:t xml:space="preserve"> </w:t>
      </w:r>
    </w:p>
    <w:p w:rsidR="00000000" w:rsidRPr="00447EA8" w:rsidRDefault="00566C26" w:rsidP="00447EA8">
      <w:pPr>
        <w:pStyle w:val="BodyText"/>
        <w:numPr>
          <w:ilvl w:val="0"/>
          <w:numId w:val="42"/>
        </w:numPr>
        <w:rPr>
          <w:sz w:val="32"/>
          <w:szCs w:val="32"/>
          <w:lang w:val="en-IN"/>
        </w:rPr>
      </w:pPr>
      <w:r w:rsidRPr="00447EA8">
        <w:rPr>
          <w:sz w:val="32"/>
          <w:szCs w:val="32"/>
          <w:lang w:val="en-IN"/>
        </w:rPr>
        <w:t>[6] C. Chen, J. Wang, and D. Ton, “Modernizing distribution system restoration to active grid resiliency against extreme wea</w:t>
      </w:r>
      <w:r w:rsidRPr="00447EA8">
        <w:rPr>
          <w:sz w:val="32"/>
          <w:szCs w:val="32"/>
          <w:lang w:val="en-IN"/>
        </w:rPr>
        <w:t xml:space="preserve">ther </w:t>
      </w:r>
      <w:r w:rsidRPr="00447EA8">
        <w:rPr>
          <w:sz w:val="32"/>
          <w:szCs w:val="32"/>
          <w:lang w:val="en-IN"/>
        </w:rPr>
        <w:lastRenderedPageBreak/>
        <w:t xml:space="preserve">events: An integrated solution,” Proc. IEEE, vol. 105, no. 7, pp. 1267–1288, Jul. 2017. </w:t>
      </w:r>
    </w:p>
    <w:p w:rsidR="00000000" w:rsidRPr="00447EA8" w:rsidRDefault="00566C26" w:rsidP="00447EA8">
      <w:pPr>
        <w:pStyle w:val="BodyText"/>
        <w:numPr>
          <w:ilvl w:val="0"/>
          <w:numId w:val="42"/>
        </w:numPr>
        <w:rPr>
          <w:sz w:val="32"/>
          <w:szCs w:val="32"/>
          <w:lang w:val="en-IN"/>
        </w:rPr>
      </w:pPr>
      <w:r w:rsidRPr="00447EA8">
        <w:rPr>
          <w:sz w:val="32"/>
          <w:szCs w:val="32"/>
          <w:lang w:val="en-IN"/>
        </w:rPr>
        <w:t>[7] H. Jia, W. Qi, Z. Liu, B. Wang, Y. Zeng, and T. Xu, “Hierarchical risk assess ment of transmission system considering the influence of active distribution ne</w:t>
      </w:r>
      <w:r w:rsidRPr="00447EA8">
        <w:rPr>
          <w:sz w:val="32"/>
          <w:szCs w:val="32"/>
          <w:lang w:val="en-IN"/>
        </w:rPr>
        <w:t xml:space="preserve">twork,” IEEE Trans. Power Syst., vol. 30, no. 2, pp. 1084–1093, Mar. 2015. </w:t>
      </w:r>
    </w:p>
    <w:p w:rsidR="00000000" w:rsidRPr="00447EA8" w:rsidRDefault="00566C26" w:rsidP="00447EA8">
      <w:pPr>
        <w:pStyle w:val="BodyText"/>
        <w:numPr>
          <w:ilvl w:val="0"/>
          <w:numId w:val="42"/>
        </w:numPr>
        <w:rPr>
          <w:sz w:val="32"/>
          <w:szCs w:val="32"/>
          <w:lang w:val="en-IN"/>
        </w:rPr>
      </w:pPr>
      <w:r w:rsidRPr="00447EA8">
        <w:rPr>
          <w:sz w:val="32"/>
          <w:szCs w:val="32"/>
          <w:lang w:val="en-IN"/>
        </w:rPr>
        <w:t>[8] A. Zegers and H. Brunner, “TSO-DSO interaction: An overview of current interaction between transmission and distribution system operators and an assessment of their cooperatio</w:t>
      </w:r>
      <w:r w:rsidRPr="00447EA8">
        <w:rPr>
          <w:sz w:val="32"/>
          <w:szCs w:val="32"/>
          <w:lang w:val="en-IN"/>
        </w:rPr>
        <w:t xml:space="preserve">n in smart grids,” Sep. 2014 [Online]. Available: http://www.ieaisgan.org/index.php?r=home&amp;c=5/378 </w:t>
      </w:r>
    </w:p>
    <w:p w:rsidR="00000000" w:rsidRPr="00447EA8" w:rsidRDefault="00566C26" w:rsidP="00447EA8">
      <w:pPr>
        <w:pStyle w:val="BodyText"/>
        <w:numPr>
          <w:ilvl w:val="0"/>
          <w:numId w:val="42"/>
        </w:numPr>
        <w:rPr>
          <w:sz w:val="32"/>
          <w:szCs w:val="32"/>
          <w:lang w:val="en-IN"/>
        </w:rPr>
      </w:pPr>
      <w:r w:rsidRPr="00447EA8">
        <w:rPr>
          <w:sz w:val="32"/>
          <w:szCs w:val="32"/>
          <w:lang w:val="en-IN"/>
        </w:rPr>
        <w:t>[9] “Energy regulation: A bridge to 2025,” ACER report, 2014. [Online]. Available: http://www.acer.europa.eu/official_documents/acts_of_the_ agency/sd05200</w:t>
      </w:r>
      <w:r w:rsidRPr="00447EA8">
        <w:rPr>
          <w:sz w:val="32"/>
          <w:szCs w:val="32"/>
          <w:lang w:val="en-IN"/>
        </w:rPr>
        <w:t xml:space="preserve">5/supporting%20document%20to%20acer%20recom mendation%2005-2014%20-%20%20energy%20regulation%20a%20 bridge %20to%202025%20conclusions%20paper.pdf </w:t>
      </w:r>
    </w:p>
    <w:p w:rsidR="00000000" w:rsidRPr="00447EA8" w:rsidRDefault="00566C26" w:rsidP="00447EA8">
      <w:pPr>
        <w:pStyle w:val="BodyText"/>
        <w:numPr>
          <w:ilvl w:val="0"/>
          <w:numId w:val="42"/>
        </w:numPr>
        <w:rPr>
          <w:sz w:val="32"/>
          <w:szCs w:val="32"/>
          <w:lang w:val="en-IN"/>
        </w:rPr>
      </w:pPr>
      <w:r w:rsidRPr="00447EA8">
        <w:rPr>
          <w:sz w:val="32"/>
          <w:szCs w:val="32"/>
          <w:lang w:val="en-IN"/>
        </w:rPr>
        <w:t>[10] “General guidelines for reinforcing the cooperation between TSOs and DSOs,” ENTSO report, 2015. [Online</w:t>
      </w:r>
      <w:r w:rsidRPr="00447EA8">
        <w:rPr>
          <w:sz w:val="32"/>
          <w:szCs w:val="32"/>
          <w:lang w:val="en-IN"/>
        </w:rPr>
        <w:t xml:space="preserve">]. Available: https://www.entsoe.eu/Documents/Publications/Position%20papers% 20and%20reports/entsoe_pp_TSO-DSO_web.pdf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6C26" w:rsidRDefault="00566C26" w:rsidP="003654DF">
      <w:pPr>
        <w:spacing w:after="0" w:line="240" w:lineRule="auto"/>
      </w:pPr>
      <w:r>
        <w:separator/>
      </w:r>
    </w:p>
  </w:endnote>
  <w:endnote w:type="continuationSeparator" w:id="1">
    <w:p w:rsidR="00566C26" w:rsidRDefault="00566C2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6C26" w:rsidRDefault="00566C26" w:rsidP="003654DF">
      <w:pPr>
        <w:spacing w:after="0" w:line="240" w:lineRule="auto"/>
      </w:pPr>
      <w:r>
        <w:separator/>
      </w:r>
    </w:p>
  </w:footnote>
  <w:footnote w:type="continuationSeparator" w:id="1">
    <w:p w:rsidR="00566C26" w:rsidRDefault="00566C2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267BE">
        <w:pPr>
          <w:pStyle w:val="Header"/>
          <w:jc w:val="right"/>
        </w:pPr>
        <w:fldSimple w:instr=" PAGE   \* MERGEFORMAT ">
          <w:r w:rsidR="003164F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10671C"/>
    <w:multiLevelType w:val="hybridMultilevel"/>
    <w:tmpl w:val="D820FE66"/>
    <w:lvl w:ilvl="0" w:tplc="50BCA204">
      <w:start w:val="1"/>
      <w:numFmt w:val="bullet"/>
      <w:lvlText w:val=""/>
      <w:lvlJc w:val="left"/>
      <w:pPr>
        <w:tabs>
          <w:tab w:val="num" w:pos="720"/>
        </w:tabs>
        <w:ind w:left="720" w:hanging="360"/>
      </w:pPr>
      <w:rPr>
        <w:rFonts w:ascii="Wingdings 2" w:hAnsi="Wingdings 2" w:hint="default"/>
      </w:rPr>
    </w:lvl>
    <w:lvl w:ilvl="1" w:tplc="15B29614" w:tentative="1">
      <w:start w:val="1"/>
      <w:numFmt w:val="bullet"/>
      <w:lvlText w:val=""/>
      <w:lvlJc w:val="left"/>
      <w:pPr>
        <w:tabs>
          <w:tab w:val="num" w:pos="1440"/>
        </w:tabs>
        <w:ind w:left="1440" w:hanging="360"/>
      </w:pPr>
      <w:rPr>
        <w:rFonts w:ascii="Wingdings 2" w:hAnsi="Wingdings 2" w:hint="default"/>
      </w:rPr>
    </w:lvl>
    <w:lvl w:ilvl="2" w:tplc="E14A847A" w:tentative="1">
      <w:start w:val="1"/>
      <w:numFmt w:val="bullet"/>
      <w:lvlText w:val=""/>
      <w:lvlJc w:val="left"/>
      <w:pPr>
        <w:tabs>
          <w:tab w:val="num" w:pos="2160"/>
        </w:tabs>
        <w:ind w:left="2160" w:hanging="360"/>
      </w:pPr>
      <w:rPr>
        <w:rFonts w:ascii="Wingdings 2" w:hAnsi="Wingdings 2" w:hint="default"/>
      </w:rPr>
    </w:lvl>
    <w:lvl w:ilvl="3" w:tplc="B23C1B0C" w:tentative="1">
      <w:start w:val="1"/>
      <w:numFmt w:val="bullet"/>
      <w:lvlText w:val=""/>
      <w:lvlJc w:val="left"/>
      <w:pPr>
        <w:tabs>
          <w:tab w:val="num" w:pos="2880"/>
        </w:tabs>
        <w:ind w:left="2880" w:hanging="360"/>
      </w:pPr>
      <w:rPr>
        <w:rFonts w:ascii="Wingdings 2" w:hAnsi="Wingdings 2" w:hint="default"/>
      </w:rPr>
    </w:lvl>
    <w:lvl w:ilvl="4" w:tplc="E90C0E68" w:tentative="1">
      <w:start w:val="1"/>
      <w:numFmt w:val="bullet"/>
      <w:lvlText w:val=""/>
      <w:lvlJc w:val="left"/>
      <w:pPr>
        <w:tabs>
          <w:tab w:val="num" w:pos="3600"/>
        </w:tabs>
        <w:ind w:left="3600" w:hanging="360"/>
      </w:pPr>
      <w:rPr>
        <w:rFonts w:ascii="Wingdings 2" w:hAnsi="Wingdings 2" w:hint="default"/>
      </w:rPr>
    </w:lvl>
    <w:lvl w:ilvl="5" w:tplc="F6604A54" w:tentative="1">
      <w:start w:val="1"/>
      <w:numFmt w:val="bullet"/>
      <w:lvlText w:val=""/>
      <w:lvlJc w:val="left"/>
      <w:pPr>
        <w:tabs>
          <w:tab w:val="num" w:pos="4320"/>
        </w:tabs>
        <w:ind w:left="4320" w:hanging="360"/>
      </w:pPr>
      <w:rPr>
        <w:rFonts w:ascii="Wingdings 2" w:hAnsi="Wingdings 2" w:hint="default"/>
      </w:rPr>
    </w:lvl>
    <w:lvl w:ilvl="6" w:tplc="F7A640C2" w:tentative="1">
      <w:start w:val="1"/>
      <w:numFmt w:val="bullet"/>
      <w:lvlText w:val=""/>
      <w:lvlJc w:val="left"/>
      <w:pPr>
        <w:tabs>
          <w:tab w:val="num" w:pos="5040"/>
        </w:tabs>
        <w:ind w:left="5040" w:hanging="360"/>
      </w:pPr>
      <w:rPr>
        <w:rFonts w:ascii="Wingdings 2" w:hAnsi="Wingdings 2" w:hint="default"/>
      </w:rPr>
    </w:lvl>
    <w:lvl w:ilvl="7" w:tplc="AF386796" w:tentative="1">
      <w:start w:val="1"/>
      <w:numFmt w:val="bullet"/>
      <w:lvlText w:val=""/>
      <w:lvlJc w:val="left"/>
      <w:pPr>
        <w:tabs>
          <w:tab w:val="num" w:pos="5760"/>
        </w:tabs>
        <w:ind w:left="5760" w:hanging="360"/>
      </w:pPr>
      <w:rPr>
        <w:rFonts w:ascii="Wingdings 2" w:hAnsi="Wingdings 2" w:hint="default"/>
      </w:rPr>
    </w:lvl>
    <w:lvl w:ilvl="8" w:tplc="6AC46BAA"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58729E"/>
    <w:multiLevelType w:val="hybridMultilevel"/>
    <w:tmpl w:val="DC9E4610"/>
    <w:lvl w:ilvl="0" w:tplc="638E92BC">
      <w:start w:val="1"/>
      <w:numFmt w:val="bullet"/>
      <w:lvlText w:val=""/>
      <w:lvlJc w:val="left"/>
      <w:pPr>
        <w:tabs>
          <w:tab w:val="num" w:pos="720"/>
        </w:tabs>
        <w:ind w:left="720" w:hanging="360"/>
      </w:pPr>
      <w:rPr>
        <w:rFonts w:ascii="Wingdings 2" w:hAnsi="Wingdings 2" w:hint="default"/>
      </w:rPr>
    </w:lvl>
    <w:lvl w:ilvl="1" w:tplc="AEE0757C" w:tentative="1">
      <w:start w:val="1"/>
      <w:numFmt w:val="bullet"/>
      <w:lvlText w:val=""/>
      <w:lvlJc w:val="left"/>
      <w:pPr>
        <w:tabs>
          <w:tab w:val="num" w:pos="1440"/>
        </w:tabs>
        <w:ind w:left="1440" w:hanging="360"/>
      </w:pPr>
      <w:rPr>
        <w:rFonts w:ascii="Wingdings 2" w:hAnsi="Wingdings 2" w:hint="default"/>
      </w:rPr>
    </w:lvl>
    <w:lvl w:ilvl="2" w:tplc="A5D4357C" w:tentative="1">
      <w:start w:val="1"/>
      <w:numFmt w:val="bullet"/>
      <w:lvlText w:val=""/>
      <w:lvlJc w:val="left"/>
      <w:pPr>
        <w:tabs>
          <w:tab w:val="num" w:pos="2160"/>
        </w:tabs>
        <w:ind w:left="2160" w:hanging="360"/>
      </w:pPr>
      <w:rPr>
        <w:rFonts w:ascii="Wingdings 2" w:hAnsi="Wingdings 2" w:hint="default"/>
      </w:rPr>
    </w:lvl>
    <w:lvl w:ilvl="3" w:tplc="469E7F90" w:tentative="1">
      <w:start w:val="1"/>
      <w:numFmt w:val="bullet"/>
      <w:lvlText w:val=""/>
      <w:lvlJc w:val="left"/>
      <w:pPr>
        <w:tabs>
          <w:tab w:val="num" w:pos="2880"/>
        </w:tabs>
        <w:ind w:left="2880" w:hanging="360"/>
      </w:pPr>
      <w:rPr>
        <w:rFonts w:ascii="Wingdings 2" w:hAnsi="Wingdings 2" w:hint="default"/>
      </w:rPr>
    </w:lvl>
    <w:lvl w:ilvl="4" w:tplc="5EC62C0A" w:tentative="1">
      <w:start w:val="1"/>
      <w:numFmt w:val="bullet"/>
      <w:lvlText w:val=""/>
      <w:lvlJc w:val="left"/>
      <w:pPr>
        <w:tabs>
          <w:tab w:val="num" w:pos="3600"/>
        </w:tabs>
        <w:ind w:left="3600" w:hanging="360"/>
      </w:pPr>
      <w:rPr>
        <w:rFonts w:ascii="Wingdings 2" w:hAnsi="Wingdings 2" w:hint="default"/>
      </w:rPr>
    </w:lvl>
    <w:lvl w:ilvl="5" w:tplc="E09662CA" w:tentative="1">
      <w:start w:val="1"/>
      <w:numFmt w:val="bullet"/>
      <w:lvlText w:val=""/>
      <w:lvlJc w:val="left"/>
      <w:pPr>
        <w:tabs>
          <w:tab w:val="num" w:pos="4320"/>
        </w:tabs>
        <w:ind w:left="4320" w:hanging="360"/>
      </w:pPr>
      <w:rPr>
        <w:rFonts w:ascii="Wingdings 2" w:hAnsi="Wingdings 2" w:hint="default"/>
      </w:rPr>
    </w:lvl>
    <w:lvl w:ilvl="6" w:tplc="4CB64250" w:tentative="1">
      <w:start w:val="1"/>
      <w:numFmt w:val="bullet"/>
      <w:lvlText w:val=""/>
      <w:lvlJc w:val="left"/>
      <w:pPr>
        <w:tabs>
          <w:tab w:val="num" w:pos="5040"/>
        </w:tabs>
        <w:ind w:left="5040" w:hanging="360"/>
      </w:pPr>
      <w:rPr>
        <w:rFonts w:ascii="Wingdings 2" w:hAnsi="Wingdings 2" w:hint="default"/>
      </w:rPr>
    </w:lvl>
    <w:lvl w:ilvl="7" w:tplc="81EE172E" w:tentative="1">
      <w:start w:val="1"/>
      <w:numFmt w:val="bullet"/>
      <w:lvlText w:val=""/>
      <w:lvlJc w:val="left"/>
      <w:pPr>
        <w:tabs>
          <w:tab w:val="num" w:pos="5760"/>
        </w:tabs>
        <w:ind w:left="5760" w:hanging="360"/>
      </w:pPr>
      <w:rPr>
        <w:rFonts w:ascii="Wingdings 2" w:hAnsi="Wingdings 2" w:hint="default"/>
      </w:rPr>
    </w:lvl>
    <w:lvl w:ilvl="8" w:tplc="B3009A9E"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D7F54D4"/>
    <w:multiLevelType w:val="hybridMultilevel"/>
    <w:tmpl w:val="2C6A392E"/>
    <w:lvl w:ilvl="0" w:tplc="EF960154">
      <w:start w:val="1"/>
      <w:numFmt w:val="bullet"/>
      <w:lvlText w:val=""/>
      <w:lvlJc w:val="left"/>
      <w:pPr>
        <w:tabs>
          <w:tab w:val="num" w:pos="720"/>
        </w:tabs>
        <w:ind w:left="720" w:hanging="360"/>
      </w:pPr>
      <w:rPr>
        <w:rFonts w:ascii="Wingdings 2" w:hAnsi="Wingdings 2" w:hint="default"/>
      </w:rPr>
    </w:lvl>
    <w:lvl w:ilvl="1" w:tplc="492ECE8A" w:tentative="1">
      <w:start w:val="1"/>
      <w:numFmt w:val="bullet"/>
      <w:lvlText w:val=""/>
      <w:lvlJc w:val="left"/>
      <w:pPr>
        <w:tabs>
          <w:tab w:val="num" w:pos="1440"/>
        </w:tabs>
        <w:ind w:left="1440" w:hanging="360"/>
      </w:pPr>
      <w:rPr>
        <w:rFonts w:ascii="Wingdings 2" w:hAnsi="Wingdings 2" w:hint="default"/>
      </w:rPr>
    </w:lvl>
    <w:lvl w:ilvl="2" w:tplc="306CF78E" w:tentative="1">
      <w:start w:val="1"/>
      <w:numFmt w:val="bullet"/>
      <w:lvlText w:val=""/>
      <w:lvlJc w:val="left"/>
      <w:pPr>
        <w:tabs>
          <w:tab w:val="num" w:pos="2160"/>
        </w:tabs>
        <w:ind w:left="2160" w:hanging="360"/>
      </w:pPr>
      <w:rPr>
        <w:rFonts w:ascii="Wingdings 2" w:hAnsi="Wingdings 2" w:hint="default"/>
      </w:rPr>
    </w:lvl>
    <w:lvl w:ilvl="3" w:tplc="8920058C" w:tentative="1">
      <w:start w:val="1"/>
      <w:numFmt w:val="bullet"/>
      <w:lvlText w:val=""/>
      <w:lvlJc w:val="left"/>
      <w:pPr>
        <w:tabs>
          <w:tab w:val="num" w:pos="2880"/>
        </w:tabs>
        <w:ind w:left="2880" w:hanging="360"/>
      </w:pPr>
      <w:rPr>
        <w:rFonts w:ascii="Wingdings 2" w:hAnsi="Wingdings 2" w:hint="default"/>
      </w:rPr>
    </w:lvl>
    <w:lvl w:ilvl="4" w:tplc="1CFA1482" w:tentative="1">
      <w:start w:val="1"/>
      <w:numFmt w:val="bullet"/>
      <w:lvlText w:val=""/>
      <w:lvlJc w:val="left"/>
      <w:pPr>
        <w:tabs>
          <w:tab w:val="num" w:pos="3600"/>
        </w:tabs>
        <w:ind w:left="3600" w:hanging="360"/>
      </w:pPr>
      <w:rPr>
        <w:rFonts w:ascii="Wingdings 2" w:hAnsi="Wingdings 2" w:hint="default"/>
      </w:rPr>
    </w:lvl>
    <w:lvl w:ilvl="5" w:tplc="3ACC3816" w:tentative="1">
      <w:start w:val="1"/>
      <w:numFmt w:val="bullet"/>
      <w:lvlText w:val=""/>
      <w:lvlJc w:val="left"/>
      <w:pPr>
        <w:tabs>
          <w:tab w:val="num" w:pos="4320"/>
        </w:tabs>
        <w:ind w:left="4320" w:hanging="360"/>
      </w:pPr>
      <w:rPr>
        <w:rFonts w:ascii="Wingdings 2" w:hAnsi="Wingdings 2" w:hint="default"/>
      </w:rPr>
    </w:lvl>
    <w:lvl w:ilvl="6" w:tplc="FCAAA74A" w:tentative="1">
      <w:start w:val="1"/>
      <w:numFmt w:val="bullet"/>
      <w:lvlText w:val=""/>
      <w:lvlJc w:val="left"/>
      <w:pPr>
        <w:tabs>
          <w:tab w:val="num" w:pos="5040"/>
        </w:tabs>
        <w:ind w:left="5040" w:hanging="360"/>
      </w:pPr>
      <w:rPr>
        <w:rFonts w:ascii="Wingdings 2" w:hAnsi="Wingdings 2" w:hint="default"/>
      </w:rPr>
    </w:lvl>
    <w:lvl w:ilvl="7" w:tplc="3E523EF6" w:tentative="1">
      <w:start w:val="1"/>
      <w:numFmt w:val="bullet"/>
      <w:lvlText w:val=""/>
      <w:lvlJc w:val="left"/>
      <w:pPr>
        <w:tabs>
          <w:tab w:val="num" w:pos="5760"/>
        </w:tabs>
        <w:ind w:left="5760" w:hanging="360"/>
      </w:pPr>
      <w:rPr>
        <w:rFonts w:ascii="Wingdings 2" w:hAnsi="Wingdings 2" w:hint="default"/>
      </w:rPr>
    </w:lvl>
    <w:lvl w:ilvl="8" w:tplc="F4FE732A" w:tentative="1">
      <w:start w:val="1"/>
      <w:numFmt w:val="bullet"/>
      <w:lvlText w:val=""/>
      <w:lvlJc w:val="left"/>
      <w:pPr>
        <w:tabs>
          <w:tab w:val="num" w:pos="6480"/>
        </w:tabs>
        <w:ind w:left="6480" w:hanging="360"/>
      </w:pPr>
      <w:rPr>
        <w:rFonts w:ascii="Wingdings 2" w:hAnsi="Wingdings 2" w:hint="default"/>
      </w:rPr>
    </w:lvl>
  </w:abstractNum>
  <w:abstractNum w:abstractNumId="12">
    <w:nsid w:val="227643C1"/>
    <w:multiLevelType w:val="hybridMultilevel"/>
    <w:tmpl w:val="EEBA115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14785A"/>
    <w:multiLevelType w:val="hybridMultilevel"/>
    <w:tmpl w:val="D61EB856"/>
    <w:lvl w:ilvl="0" w:tplc="5DE80D38">
      <w:start w:val="1"/>
      <w:numFmt w:val="bullet"/>
      <w:lvlText w:val=""/>
      <w:lvlJc w:val="left"/>
      <w:pPr>
        <w:tabs>
          <w:tab w:val="num" w:pos="720"/>
        </w:tabs>
        <w:ind w:left="720" w:hanging="360"/>
      </w:pPr>
      <w:rPr>
        <w:rFonts w:ascii="Wingdings 2" w:hAnsi="Wingdings 2" w:hint="default"/>
      </w:rPr>
    </w:lvl>
    <w:lvl w:ilvl="1" w:tplc="A1C23FE4" w:tentative="1">
      <w:start w:val="1"/>
      <w:numFmt w:val="bullet"/>
      <w:lvlText w:val=""/>
      <w:lvlJc w:val="left"/>
      <w:pPr>
        <w:tabs>
          <w:tab w:val="num" w:pos="1440"/>
        </w:tabs>
        <w:ind w:left="1440" w:hanging="360"/>
      </w:pPr>
      <w:rPr>
        <w:rFonts w:ascii="Wingdings 2" w:hAnsi="Wingdings 2" w:hint="default"/>
      </w:rPr>
    </w:lvl>
    <w:lvl w:ilvl="2" w:tplc="7C4275B4" w:tentative="1">
      <w:start w:val="1"/>
      <w:numFmt w:val="bullet"/>
      <w:lvlText w:val=""/>
      <w:lvlJc w:val="left"/>
      <w:pPr>
        <w:tabs>
          <w:tab w:val="num" w:pos="2160"/>
        </w:tabs>
        <w:ind w:left="2160" w:hanging="360"/>
      </w:pPr>
      <w:rPr>
        <w:rFonts w:ascii="Wingdings 2" w:hAnsi="Wingdings 2" w:hint="default"/>
      </w:rPr>
    </w:lvl>
    <w:lvl w:ilvl="3" w:tplc="1B8AD87A" w:tentative="1">
      <w:start w:val="1"/>
      <w:numFmt w:val="bullet"/>
      <w:lvlText w:val=""/>
      <w:lvlJc w:val="left"/>
      <w:pPr>
        <w:tabs>
          <w:tab w:val="num" w:pos="2880"/>
        </w:tabs>
        <w:ind w:left="2880" w:hanging="360"/>
      </w:pPr>
      <w:rPr>
        <w:rFonts w:ascii="Wingdings 2" w:hAnsi="Wingdings 2" w:hint="default"/>
      </w:rPr>
    </w:lvl>
    <w:lvl w:ilvl="4" w:tplc="3E523024" w:tentative="1">
      <w:start w:val="1"/>
      <w:numFmt w:val="bullet"/>
      <w:lvlText w:val=""/>
      <w:lvlJc w:val="left"/>
      <w:pPr>
        <w:tabs>
          <w:tab w:val="num" w:pos="3600"/>
        </w:tabs>
        <w:ind w:left="3600" w:hanging="360"/>
      </w:pPr>
      <w:rPr>
        <w:rFonts w:ascii="Wingdings 2" w:hAnsi="Wingdings 2" w:hint="default"/>
      </w:rPr>
    </w:lvl>
    <w:lvl w:ilvl="5" w:tplc="4AAE7828" w:tentative="1">
      <w:start w:val="1"/>
      <w:numFmt w:val="bullet"/>
      <w:lvlText w:val=""/>
      <w:lvlJc w:val="left"/>
      <w:pPr>
        <w:tabs>
          <w:tab w:val="num" w:pos="4320"/>
        </w:tabs>
        <w:ind w:left="4320" w:hanging="360"/>
      </w:pPr>
      <w:rPr>
        <w:rFonts w:ascii="Wingdings 2" w:hAnsi="Wingdings 2" w:hint="default"/>
      </w:rPr>
    </w:lvl>
    <w:lvl w:ilvl="6" w:tplc="FC224630" w:tentative="1">
      <w:start w:val="1"/>
      <w:numFmt w:val="bullet"/>
      <w:lvlText w:val=""/>
      <w:lvlJc w:val="left"/>
      <w:pPr>
        <w:tabs>
          <w:tab w:val="num" w:pos="5040"/>
        </w:tabs>
        <w:ind w:left="5040" w:hanging="360"/>
      </w:pPr>
      <w:rPr>
        <w:rFonts w:ascii="Wingdings 2" w:hAnsi="Wingdings 2" w:hint="default"/>
      </w:rPr>
    </w:lvl>
    <w:lvl w:ilvl="7" w:tplc="FCDE8D3A" w:tentative="1">
      <w:start w:val="1"/>
      <w:numFmt w:val="bullet"/>
      <w:lvlText w:val=""/>
      <w:lvlJc w:val="left"/>
      <w:pPr>
        <w:tabs>
          <w:tab w:val="num" w:pos="5760"/>
        </w:tabs>
        <w:ind w:left="5760" w:hanging="360"/>
      </w:pPr>
      <w:rPr>
        <w:rFonts w:ascii="Wingdings 2" w:hAnsi="Wingdings 2" w:hint="default"/>
      </w:rPr>
    </w:lvl>
    <w:lvl w:ilvl="8" w:tplc="674EA45A" w:tentative="1">
      <w:start w:val="1"/>
      <w:numFmt w:val="bullet"/>
      <w:lvlText w:val=""/>
      <w:lvlJc w:val="left"/>
      <w:pPr>
        <w:tabs>
          <w:tab w:val="num" w:pos="6480"/>
        </w:tabs>
        <w:ind w:left="6480" w:hanging="360"/>
      </w:pPr>
      <w:rPr>
        <w:rFonts w:ascii="Wingdings 2" w:hAnsi="Wingdings 2"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F07858"/>
    <w:multiLevelType w:val="hybridMultilevel"/>
    <w:tmpl w:val="29842E62"/>
    <w:lvl w:ilvl="0" w:tplc="B444188C">
      <w:start w:val="1"/>
      <w:numFmt w:val="bullet"/>
      <w:lvlText w:val=""/>
      <w:lvlJc w:val="left"/>
      <w:pPr>
        <w:tabs>
          <w:tab w:val="num" w:pos="720"/>
        </w:tabs>
        <w:ind w:left="720" w:hanging="360"/>
      </w:pPr>
      <w:rPr>
        <w:rFonts w:ascii="Wingdings 2" w:hAnsi="Wingdings 2" w:hint="default"/>
      </w:rPr>
    </w:lvl>
    <w:lvl w:ilvl="1" w:tplc="3296F3B0" w:tentative="1">
      <w:start w:val="1"/>
      <w:numFmt w:val="bullet"/>
      <w:lvlText w:val=""/>
      <w:lvlJc w:val="left"/>
      <w:pPr>
        <w:tabs>
          <w:tab w:val="num" w:pos="1440"/>
        </w:tabs>
        <w:ind w:left="1440" w:hanging="360"/>
      </w:pPr>
      <w:rPr>
        <w:rFonts w:ascii="Wingdings 2" w:hAnsi="Wingdings 2" w:hint="default"/>
      </w:rPr>
    </w:lvl>
    <w:lvl w:ilvl="2" w:tplc="5B1EE120" w:tentative="1">
      <w:start w:val="1"/>
      <w:numFmt w:val="bullet"/>
      <w:lvlText w:val=""/>
      <w:lvlJc w:val="left"/>
      <w:pPr>
        <w:tabs>
          <w:tab w:val="num" w:pos="2160"/>
        </w:tabs>
        <w:ind w:left="2160" w:hanging="360"/>
      </w:pPr>
      <w:rPr>
        <w:rFonts w:ascii="Wingdings 2" w:hAnsi="Wingdings 2" w:hint="default"/>
      </w:rPr>
    </w:lvl>
    <w:lvl w:ilvl="3" w:tplc="093466BE" w:tentative="1">
      <w:start w:val="1"/>
      <w:numFmt w:val="bullet"/>
      <w:lvlText w:val=""/>
      <w:lvlJc w:val="left"/>
      <w:pPr>
        <w:tabs>
          <w:tab w:val="num" w:pos="2880"/>
        </w:tabs>
        <w:ind w:left="2880" w:hanging="360"/>
      </w:pPr>
      <w:rPr>
        <w:rFonts w:ascii="Wingdings 2" w:hAnsi="Wingdings 2" w:hint="default"/>
      </w:rPr>
    </w:lvl>
    <w:lvl w:ilvl="4" w:tplc="EA4053B6" w:tentative="1">
      <w:start w:val="1"/>
      <w:numFmt w:val="bullet"/>
      <w:lvlText w:val=""/>
      <w:lvlJc w:val="left"/>
      <w:pPr>
        <w:tabs>
          <w:tab w:val="num" w:pos="3600"/>
        </w:tabs>
        <w:ind w:left="3600" w:hanging="360"/>
      </w:pPr>
      <w:rPr>
        <w:rFonts w:ascii="Wingdings 2" w:hAnsi="Wingdings 2" w:hint="default"/>
      </w:rPr>
    </w:lvl>
    <w:lvl w:ilvl="5" w:tplc="C2C6C2DE" w:tentative="1">
      <w:start w:val="1"/>
      <w:numFmt w:val="bullet"/>
      <w:lvlText w:val=""/>
      <w:lvlJc w:val="left"/>
      <w:pPr>
        <w:tabs>
          <w:tab w:val="num" w:pos="4320"/>
        </w:tabs>
        <w:ind w:left="4320" w:hanging="360"/>
      </w:pPr>
      <w:rPr>
        <w:rFonts w:ascii="Wingdings 2" w:hAnsi="Wingdings 2" w:hint="default"/>
      </w:rPr>
    </w:lvl>
    <w:lvl w:ilvl="6" w:tplc="7B56FCCE" w:tentative="1">
      <w:start w:val="1"/>
      <w:numFmt w:val="bullet"/>
      <w:lvlText w:val=""/>
      <w:lvlJc w:val="left"/>
      <w:pPr>
        <w:tabs>
          <w:tab w:val="num" w:pos="5040"/>
        </w:tabs>
        <w:ind w:left="5040" w:hanging="360"/>
      </w:pPr>
      <w:rPr>
        <w:rFonts w:ascii="Wingdings 2" w:hAnsi="Wingdings 2" w:hint="default"/>
      </w:rPr>
    </w:lvl>
    <w:lvl w:ilvl="7" w:tplc="FDDC90EA" w:tentative="1">
      <w:start w:val="1"/>
      <w:numFmt w:val="bullet"/>
      <w:lvlText w:val=""/>
      <w:lvlJc w:val="left"/>
      <w:pPr>
        <w:tabs>
          <w:tab w:val="num" w:pos="5760"/>
        </w:tabs>
        <w:ind w:left="5760" w:hanging="360"/>
      </w:pPr>
      <w:rPr>
        <w:rFonts w:ascii="Wingdings 2" w:hAnsi="Wingdings 2" w:hint="default"/>
      </w:rPr>
    </w:lvl>
    <w:lvl w:ilvl="8" w:tplc="EE02667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5"/>
  </w:num>
  <w:num w:numId="10">
    <w:abstractNumId w:val="1"/>
  </w:num>
  <w:num w:numId="11">
    <w:abstractNumId w:val="13"/>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6"/>
  </w:num>
  <w:num w:numId="20">
    <w:abstractNumId w:val="6"/>
  </w:num>
  <w:num w:numId="21">
    <w:abstractNumId w:val="46"/>
  </w:num>
  <w:num w:numId="22">
    <w:abstractNumId w:val="21"/>
  </w:num>
  <w:num w:numId="23">
    <w:abstractNumId w:val="42"/>
  </w:num>
  <w:num w:numId="24">
    <w:abstractNumId w:val="44"/>
  </w:num>
  <w:num w:numId="25">
    <w:abstractNumId w:val="31"/>
  </w:num>
  <w:num w:numId="26">
    <w:abstractNumId w:val="20"/>
  </w:num>
  <w:num w:numId="27">
    <w:abstractNumId w:val="3"/>
  </w:num>
  <w:num w:numId="28">
    <w:abstractNumId w:val="14"/>
  </w:num>
  <w:num w:numId="29">
    <w:abstractNumId w:val="33"/>
  </w:num>
  <w:num w:numId="30">
    <w:abstractNumId w:val="39"/>
  </w:num>
  <w:num w:numId="31">
    <w:abstractNumId w:val="29"/>
  </w:num>
  <w:num w:numId="32">
    <w:abstractNumId w:val="2"/>
  </w:num>
  <w:num w:numId="33">
    <w:abstractNumId w:val="28"/>
  </w:num>
  <w:num w:numId="34">
    <w:abstractNumId w:val="24"/>
  </w:num>
  <w:num w:numId="35">
    <w:abstractNumId w:val="17"/>
  </w:num>
  <w:num w:numId="36">
    <w:abstractNumId w:val="15"/>
  </w:num>
  <w:num w:numId="37">
    <w:abstractNumId w:val="10"/>
  </w:num>
  <w:num w:numId="38">
    <w:abstractNumId w:val="38"/>
  </w:num>
  <w:num w:numId="39">
    <w:abstractNumId w:val="19"/>
  </w:num>
  <w:num w:numId="40">
    <w:abstractNumId w:val="16"/>
  </w:num>
  <w:num w:numId="41">
    <w:abstractNumId w:val="25"/>
  </w:num>
  <w:num w:numId="42">
    <w:abstractNumId w:val="9"/>
  </w:num>
  <w:num w:numId="43">
    <w:abstractNumId w:val="43"/>
  </w:num>
  <w:num w:numId="44">
    <w:abstractNumId w:val="32"/>
  </w:num>
  <w:num w:numId="45">
    <w:abstractNumId w:val="7"/>
  </w:num>
  <w:num w:numId="46">
    <w:abstractNumId w:val="12"/>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267BE"/>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4F9"/>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47EA8"/>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6C26"/>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1373"/>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7242525">
      <w:bodyDiv w:val="1"/>
      <w:marLeft w:val="0"/>
      <w:marRight w:val="0"/>
      <w:marTop w:val="0"/>
      <w:marBottom w:val="0"/>
      <w:divBdr>
        <w:top w:val="none" w:sz="0" w:space="0" w:color="auto"/>
        <w:left w:val="none" w:sz="0" w:space="0" w:color="auto"/>
        <w:bottom w:val="none" w:sz="0" w:space="0" w:color="auto"/>
        <w:right w:val="none" w:sz="0" w:space="0" w:color="auto"/>
      </w:divBdr>
      <w:divsChild>
        <w:div w:id="617681582">
          <w:marLeft w:val="576"/>
          <w:marRight w:val="0"/>
          <w:marTop w:val="120"/>
          <w:marBottom w:val="0"/>
          <w:divBdr>
            <w:top w:val="none" w:sz="0" w:space="0" w:color="auto"/>
            <w:left w:val="none" w:sz="0" w:space="0" w:color="auto"/>
            <w:bottom w:val="none" w:sz="0" w:space="0" w:color="auto"/>
            <w:right w:val="none" w:sz="0" w:space="0" w:color="auto"/>
          </w:divBdr>
        </w:div>
        <w:div w:id="716121474">
          <w:marLeft w:val="576"/>
          <w:marRight w:val="0"/>
          <w:marTop w:val="120"/>
          <w:marBottom w:val="0"/>
          <w:divBdr>
            <w:top w:val="none" w:sz="0" w:space="0" w:color="auto"/>
            <w:left w:val="none" w:sz="0" w:space="0" w:color="auto"/>
            <w:bottom w:val="none" w:sz="0" w:space="0" w:color="auto"/>
            <w:right w:val="none" w:sz="0" w:space="0" w:color="auto"/>
          </w:divBdr>
        </w:div>
        <w:div w:id="124009695">
          <w:marLeft w:val="576"/>
          <w:marRight w:val="0"/>
          <w:marTop w:val="120"/>
          <w:marBottom w:val="0"/>
          <w:divBdr>
            <w:top w:val="none" w:sz="0" w:space="0" w:color="auto"/>
            <w:left w:val="none" w:sz="0" w:space="0" w:color="auto"/>
            <w:bottom w:val="none" w:sz="0" w:space="0" w:color="auto"/>
            <w:right w:val="none" w:sz="0" w:space="0" w:color="auto"/>
          </w:divBdr>
        </w:div>
        <w:div w:id="1130325536">
          <w:marLeft w:val="576"/>
          <w:marRight w:val="0"/>
          <w:marTop w:val="120"/>
          <w:marBottom w:val="0"/>
          <w:divBdr>
            <w:top w:val="none" w:sz="0" w:space="0" w:color="auto"/>
            <w:left w:val="none" w:sz="0" w:space="0" w:color="auto"/>
            <w:bottom w:val="none" w:sz="0" w:space="0" w:color="auto"/>
            <w:right w:val="none" w:sz="0" w:space="0" w:color="auto"/>
          </w:divBdr>
        </w:div>
        <w:div w:id="184176088">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3680206">
      <w:bodyDiv w:val="1"/>
      <w:marLeft w:val="0"/>
      <w:marRight w:val="0"/>
      <w:marTop w:val="0"/>
      <w:marBottom w:val="0"/>
      <w:divBdr>
        <w:top w:val="none" w:sz="0" w:space="0" w:color="auto"/>
        <w:left w:val="none" w:sz="0" w:space="0" w:color="auto"/>
        <w:bottom w:val="none" w:sz="0" w:space="0" w:color="auto"/>
        <w:right w:val="none" w:sz="0" w:space="0" w:color="auto"/>
      </w:divBdr>
      <w:divsChild>
        <w:div w:id="1276208771">
          <w:marLeft w:val="576"/>
          <w:marRight w:val="0"/>
          <w:marTop w:val="120"/>
          <w:marBottom w:val="0"/>
          <w:divBdr>
            <w:top w:val="none" w:sz="0" w:space="0" w:color="auto"/>
            <w:left w:val="none" w:sz="0" w:space="0" w:color="auto"/>
            <w:bottom w:val="none" w:sz="0" w:space="0" w:color="auto"/>
            <w:right w:val="none" w:sz="0" w:space="0" w:color="auto"/>
          </w:divBdr>
        </w:div>
        <w:div w:id="1212419533">
          <w:marLeft w:val="576"/>
          <w:marRight w:val="0"/>
          <w:marTop w:val="120"/>
          <w:marBottom w:val="0"/>
          <w:divBdr>
            <w:top w:val="none" w:sz="0" w:space="0" w:color="auto"/>
            <w:left w:val="none" w:sz="0" w:space="0" w:color="auto"/>
            <w:bottom w:val="none" w:sz="0" w:space="0" w:color="auto"/>
            <w:right w:val="none" w:sz="0" w:space="0" w:color="auto"/>
          </w:divBdr>
        </w:div>
        <w:div w:id="111096460">
          <w:marLeft w:val="576"/>
          <w:marRight w:val="0"/>
          <w:marTop w:val="120"/>
          <w:marBottom w:val="0"/>
          <w:divBdr>
            <w:top w:val="none" w:sz="0" w:space="0" w:color="auto"/>
            <w:left w:val="none" w:sz="0" w:space="0" w:color="auto"/>
            <w:bottom w:val="none" w:sz="0" w:space="0" w:color="auto"/>
            <w:right w:val="none" w:sz="0" w:space="0" w:color="auto"/>
          </w:divBdr>
        </w:div>
        <w:div w:id="1306426384">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2845403">
      <w:bodyDiv w:val="1"/>
      <w:marLeft w:val="0"/>
      <w:marRight w:val="0"/>
      <w:marTop w:val="0"/>
      <w:marBottom w:val="0"/>
      <w:divBdr>
        <w:top w:val="none" w:sz="0" w:space="0" w:color="auto"/>
        <w:left w:val="none" w:sz="0" w:space="0" w:color="auto"/>
        <w:bottom w:val="none" w:sz="0" w:space="0" w:color="auto"/>
        <w:right w:val="none" w:sz="0" w:space="0" w:color="auto"/>
      </w:divBdr>
      <w:divsChild>
        <w:div w:id="1632713176">
          <w:marLeft w:val="576"/>
          <w:marRight w:val="0"/>
          <w:marTop w:val="120"/>
          <w:marBottom w:val="0"/>
          <w:divBdr>
            <w:top w:val="none" w:sz="0" w:space="0" w:color="auto"/>
            <w:left w:val="none" w:sz="0" w:space="0" w:color="auto"/>
            <w:bottom w:val="none" w:sz="0" w:space="0" w:color="auto"/>
            <w:right w:val="none" w:sz="0" w:space="0" w:color="auto"/>
          </w:divBdr>
        </w:div>
        <w:div w:id="907112860">
          <w:marLeft w:val="576"/>
          <w:marRight w:val="0"/>
          <w:marTop w:val="120"/>
          <w:marBottom w:val="0"/>
          <w:divBdr>
            <w:top w:val="none" w:sz="0" w:space="0" w:color="auto"/>
            <w:left w:val="none" w:sz="0" w:space="0" w:color="auto"/>
            <w:bottom w:val="none" w:sz="0" w:space="0" w:color="auto"/>
            <w:right w:val="none" w:sz="0" w:space="0" w:color="auto"/>
          </w:divBdr>
        </w:div>
        <w:div w:id="302808393">
          <w:marLeft w:val="576"/>
          <w:marRight w:val="0"/>
          <w:marTop w:val="120"/>
          <w:marBottom w:val="0"/>
          <w:divBdr>
            <w:top w:val="none" w:sz="0" w:space="0" w:color="auto"/>
            <w:left w:val="none" w:sz="0" w:space="0" w:color="auto"/>
            <w:bottom w:val="none" w:sz="0" w:space="0" w:color="auto"/>
            <w:right w:val="none" w:sz="0" w:space="0" w:color="auto"/>
          </w:divBdr>
        </w:div>
        <w:div w:id="2038046710">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7275158">
      <w:bodyDiv w:val="1"/>
      <w:marLeft w:val="0"/>
      <w:marRight w:val="0"/>
      <w:marTop w:val="0"/>
      <w:marBottom w:val="0"/>
      <w:divBdr>
        <w:top w:val="none" w:sz="0" w:space="0" w:color="auto"/>
        <w:left w:val="none" w:sz="0" w:space="0" w:color="auto"/>
        <w:bottom w:val="none" w:sz="0" w:space="0" w:color="auto"/>
        <w:right w:val="none" w:sz="0" w:space="0" w:color="auto"/>
      </w:divBdr>
      <w:divsChild>
        <w:div w:id="1667242169">
          <w:marLeft w:val="576"/>
          <w:marRight w:val="0"/>
          <w:marTop w:val="120"/>
          <w:marBottom w:val="0"/>
          <w:divBdr>
            <w:top w:val="none" w:sz="0" w:space="0" w:color="auto"/>
            <w:left w:val="none" w:sz="0" w:space="0" w:color="auto"/>
            <w:bottom w:val="none" w:sz="0" w:space="0" w:color="auto"/>
            <w:right w:val="none" w:sz="0" w:space="0" w:color="auto"/>
          </w:divBdr>
        </w:div>
        <w:div w:id="1858736539">
          <w:marLeft w:val="576"/>
          <w:marRight w:val="0"/>
          <w:marTop w:val="120"/>
          <w:marBottom w:val="0"/>
          <w:divBdr>
            <w:top w:val="none" w:sz="0" w:space="0" w:color="auto"/>
            <w:left w:val="none" w:sz="0" w:space="0" w:color="auto"/>
            <w:bottom w:val="none" w:sz="0" w:space="0" w:color="auto"/>
            <w:right w:val="none" w:sz="0" w:space="0" w:color="auto"/>
          </w:divBdr>
        </w:div>
        <w:div w:id="1935626203">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7199053">
      <w:bodyDiv w:val="1"/>
      <w:marLeft w:val="0"/>
      <w:marRight w:val="0"/>
      <w:marTop w:val="0"/>
      <w:marBottom w:val="0"/>
      <w:divBdr>
        <w:top w:val="none" w:sz="0" w:space="0" w:color="auto"/>
        <w:left w:val="none" w:sz="0" w:space="0" w:color="auto"/>
        <w:bottom w:val="none" w:sz="0" w:space="0" w:color="auto"/>
        <w:right w:val="none" w:sz="0" w:space="0" w:color="auto"/>
      </w:divBdr>
      <w:divsChild>
        <w:div w:id="1411735384">
          <w:marLeft w:val="576"/>
          <w:marRight w:val="0"/>
          <w:marTop w:val="120"/>
          <w:marBottom w:val="0"/>
          <w:divBdr>
            <w:top w:val="none" w:sz="0" w:space="0" w:color="auto"/>
            <w:left w:val="none" w:sz="0" w:space="0" w:color="auto"/>
            <w:bottom w:val="none" w:sz="0" w:space="0" w:color="auto"/>
            <w:right w:val="none" w:sz="0" w:space="0" w:color="auto"/>
          </w:divBdr>
        </w:div>
        <w:div w:id="1462386447">
          <w:marLeft w:val="576"/>
          <w:marRight w:val="0"/>
          <w:marTop w:val="120"/>
          <w:marBottom w:val="0"/>
          <w:divBdr>
            <w:top w:val="none" w:sz="0" w:space="0" w:color="auto"/>
            <w:left w:val="none" w:sz="0" w:space="0" w:color="auto"/>
            <w:bottom w:val="none" w:sz="0" w:space="0" w:color="auto"/>
            <w:right w:val="none" w:sz="0" w:space="0" w:color="auto"/>
          </w:divBdr>
        </w:div>
        <w:div w:id="729112556">
          <w:marLeft w:val="576"/>
          <w:marRight w:val="0"/>
          <w:marTop w:val="120"/>
          <w:marBottom w:val="0"/>
          <w:divBdr>
            <w:top w:val="none" w:sz="0" w:space="0" w:color="auto"/>
            <w:left w:val="none" w:sz="0" w:space="0" w:color="auto"/>
            <w:bottom w:val="none" w:sz="0" w:space="0" w:color="auto"/>
            <w:right w:val="none" w:sz="0" w:space="0" w:color="auto"/>
          </w:divBdr>
        </w:div>
        <w:div w:id="356547567">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4285634">
      <w:bodyDiv w:val="1"/>
      <w:marLeft w:val="0"/>
      <w:marRight w:val="0"/>
      <w:marTop w:val="0"/>
      <w:marBottom w:val="0"/>
      <w:divBdr>
        <w:top w:val="none" w:sz="0" w:space="0" w:color="auto"/>
        <w:left w:val="none" w:sz="0" w:space="0" w:color="auto"/>
        <w:bottom w:val="none" w:sz="0" w:space="0" w:color="auto"/>
        <w:right w:val="none" w:sz="0" w:space="0" w:color="auto"/>
      </w:divBdr>
      <w:divsChild>
        <w:div w:id="1918201438">
          <w:marLeft w:val="576"/>
          <w:marRight w:val="0"/>
          <w:marTop w:val="120"/>
          <w:marBottom w:val="0"/>
          <w:divBdr>
            <w:top w:val="none" w:sz="0" w:space="0" w:color="auto"/>
            <w:left w:val="none" w:sz="0" w:space="0" w:color="auto"/>
            <w:bottom w:val="none" w:sz="0" w:space="0" w:color="auto"/>
            <w:right w:val="none" w:sz="0" w:space="0" w:color="auto"/>
          </w:divBdr>
        </w:div>
        <w:div w:id="977144111">
          <w:marLeft w:val="576"/>
          <w:marRight w:val="0"/>
          <w:marTop w:val="120"/>
          <w:marBottom w:val="0"/>
          <w:divBdr>
            <w:top w:val="none" w:sz="0" w:space="0" w:color="auto"/>
            <w:left w:val="none" w:sz="0" w:space="0" w:color="auto"/>
            <w:bottom w:val="none" w:sz="0" w:space="0" w:color="auto"/>
            <w:right w:val="none" w:sz="0" w:space="0" w:color="auto"/>
          </w:divBdr>
        </w:div>
        <w:div w:id="1214005707">
          <w:marLeft w:val="576"/>
          <w:marRight w:val="0"/>
          <w:marTop w:val="120"/>
          <w:marBottom w:val="0"/>
          <w:divBdr>
            <w:top w:val="none" w:sz="0" w:space="0" w:color="auto"/>
            <w:left w:val="none" w:sz="0" w:space="0" w:color="auto"/>
            <w:bottom w:val="none" w:sz="0" w:space="0" w:color="auto"/>
            <w:right w:val="none" w:sz="0" w:space="0" w:color="auto"/>
          </w:divBdr>
        </w:div>
        <w:div w:id="727462141">
          <w:marLeft w:val="576"/>
          <w:marRight w:val="0"/>
          <w:marTop w:val="120"/>
          <w:marBottom w:val="0"/>
          <w:divBdr>
            <w:top w:val="none" w:sz="0" w:space="0" w:color="auto"/>
            <w:left w:val="none" w:sz="0" w:space="0" w:color="auto"/>
            <w:bottom w:val="none" w:sz="0" w:space="0" w:color="auto"/>
            <w:right w:val="none" w:sz="0" w:space="0" w:color="auto"/>
          </w:divBdr>
        </w:div>
        <w:div w:id="1584602265">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0872609">
      <w:bodyDiv w:val="1"/>
      <w:marLeft w:val="0"/>
      <w:marRight w:val="0"/>
      <w:marTop w:val="0"/>
      <w:marBottom w:val="0"/>
      <w:divBdr>
        <w:top w:val="none" w:sz="0" w:space="0" w:color="auto"/>
        <w:left w:val="none" w:sz="0" w:space="0" w:color="auto"/>
        <w:bottom w:val="none" w:sz="0" w:space="0" w:color="auto"/>
        <w:right w:val="none" w:sz="0" w:space="0" w:color="auto"/>
      </w:divBdr>
      <w:divsChild>
        <w:div w:id="2086339953">
          <w:marLeft w:val="0"/>
          <w:marRight w:val="0"/>
          <w:marTop w:val="0"/>
          <w:marBottom w:val="0"/>
          <w:divBdr>
            <w:top w:val="none" w:sz="0" w:space="0" w:color="auto"/>
            <w:left w:val="none" w:sz="0" w:space="0" w:color="auto"/>
            <w:bottom w:val="none" w:sz="0" w:space="0" w:color="auto"/>
            <w:right w:val="none" w:sz="0" w:space="0" w:color="auto"/>
          </w:divBdr>
          <w:divsChild>
            <w:div w:id="277953246">
              <w:marLeft w:val="0"/>
              <w:marRight w:val="0"/>
              <w:marTop w:val="0"/>
              <w:marBottom w:val="0"/>
              <w:divBdr>
                <w:top w:val="none" w:sz="0" w:space="0" w:color="auto"/>
                <w:left w:val="none" w:sz="0" w:space="0" w:color="auto"/>
                <w:bottom w:val="none" w:sz="0" w:space="0" w:color="auto"/>
                <w:right w:val="none" w:sz="0" w:space="0" w:color="auto"/>
              </w:divBdr>
              <w:divsChild>
                <w:div w:id="1826122760">
                  <w:marLeft w:val="0"/>
                  <w:marRight w:val="0"/>
                  <w:marTop w:val="0"/>
                  <w:marBottom w:val="0"/>
                  <w:divBdr>
                    <w:top w:val="none" w:sz="0" w:space="0" w:color="auto"/>
                    <w:left w:val="none" w:sz="0" w:space="0" w:color="auto"/>
                    <w:bottom w:val="none" w:sz="0" w:space="0" w:color="auto"/>
                    <w:right w:val="none" w:sz="0" w:space="0" w:color="auto"/>
                  </w:divBdr>
                  <w:divsChild>
                    <w:div w:id="17499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6278915">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1614325">
      <w:bodyDiv w:val="1"/>
      <w:marLeft w:val="0"/>
      <w:marRight w:val="0"/>
      <w:marTop w:val="0"/>
      <w:marBottom w:val="0"/>
      <w:divBdr>
        <w:top w:val="none" w:sz="0" w:space="0" w:color="auto"/>
        <w:left w:val="none" w:sz="0" w:space="0" w:color="auto"/>
        <w:bottom w:val="none" w:sz="0" w:space="0" w:color="auto"/>
        <w:right w:val="none" w:sz="0" w:space="0" w:color="auto"/>
      </w:divBdr>
      <w:divsChild>
        <w:div w:id="160850343">
          <w:marLeft w:val="0"/>
          <w:marRight w:val="0"/>
          <w:marTop w:val="0"/>
          <w:marBottom w:val="0"/>
          <w:divBdr>
            <w:top w:val="none" w:sz="0" w:space="0" w:color="auto"/>
            <w:left w:val="none" w:sz="0" w:space="0" w:color="auto"/>
            <w:bottom w:val="none" w:sz="0" w:space="0" w:color="auto"/>
            <w:right w:val="none" w:sz="0" w:space="0" w:color="auto"/>
          </w:divBdr>
          <w:divsChild>
            <w:div w:id="91750734">
              <w:marLeft w:val="0"/>
              <w:marRight w:val="0"/>
              <w:marTop w:val="0"/>
              <w:marBottom w:val="0"/>
              <w:divBdr>
                <w:top w:val="none" w:sz="0" w:space="0" w:color="auto"/>
                <w:left w:val="none" w:sz="0" w:space="0" w:color="auto"/>
                <w:bottom w:val="none" w:sz="0" w:space="0" w:color="auto"/>
                <w:right w:val="none" w:sz="0" w:space="0" w:color="auto"/>
              </w:divBdr>
              <w:divsChild>
                <w:div w:id="1142428587">
                  <w:marLeft w:val="0"/>
                  <w:marRight w:val="0"/>
                  <w:marTop w:val="0"/>
                  <w:marBottom w:val="0"/>
                  <w:divBdr>
                    <w:top w:val="none" w:sz="0" w:space="0" w:color="auto"/>
                    <w:left w:val="none" w:sz="0" w:space="0" w:color="auto"/>
                    <w:bottom w:val="none" w:sz="0" w:space="0" w:color="auto"/>
                    <w:right w:val="none" w:sz="0" w:space="0" w:color="auto"/>
                  </w:divBdr>
                  <w:divsChild>
                    <w:div w:id="125038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14</Pages>
  <Words>1885</Words>
  <Characters>10747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2021-06-02T16:09:00Z</dcterms:modified>
</cp:coreProperties>
</file>