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A12E0" w:rsidRDefault="00845895" w:rsidP="006A12E0">
      <w:pPr>
        <w:spacing w:line="360" w:lineRule="auto"/>
        <w:jc w:val="center"/>
        <w:rPr>
          <w:rFonts w:ascii="Times New Roman" w:hAnsi="Times New Roman" w:cs="Times New Roman"/>
          <w:b/>
          <w:sz w:val="48"/>
          <w:szCs w:val="48"/>
        </w:rPr>
      </w:pPr>
    </w:p>
    <w:p w:rsidR="00CF3C1B" w:rsidRPr="006A12E0" w:rsidRDefault="006A12E0" w:rsidP="006A12E0">
      <w:pPr>
        <w:spacing w:line="360" w:lineRule="auto"/>
        <w:jc w:val="center"/>
        <w:rPr>
          <w:rFonts w:ascii="Times New Roman" w:hAnsi="Times New Roman" w:cs="Times New Roman"/>
          <w:b/>
          <w:sz w:val="48"/>
          <w:szCs w:val="48"/>
        </w:rPr>
      </w:pPr>
      <w:r w:rsidRPr="006A12E0">
        <w:rPr>
          <w:rFonts w:ascii="Times New Roman" w:hAnsi="Times New Roman" w:cs="Times New Roman"/>
          <w:b/>
          <w:sz w:val="48"/>
          <w:szCs w:val="48"/>
        </w:rPr>
        <w:t>Improving the Energy-Conversion Efficiency of a PV-TE System with an Intelligent Power-Track Switching Technique and Efficient Thermal-Management Scheme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370B4" w:rsidRPr="005370B4" w:rsidRDefault="005370B4" w:rsidP="005370B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370B4">
        <w:rPr>
          <w:rFonts w:ascii="Times New Roman" w:eastAsia="Times New Roman" w:hAnsi="Times New Roman" w:cs="Times New Roman"/>
          <w:color w:val="333333"/>
          <w:sz w:val="32"/>
          <w:szCs w:val="32"/>
          <w:lang w:val="en-IN" w:eastAsia="en-IN" w:bidi="ta-IN"/>
        </w:rPr>
        <w:t>A photovoltaic-thermoelectric (PV-TE) hybrid system can be used for efficient thermal energy utilization from the generated waste heat in PV device. In this paper, an efficient PV-TE hybrid System with intelligent power-track switching technique and thermal management based on energy conversion is proposed. To make the output power of PV-TE system stable and normalized, an incorporated stable-voltage circuit is designed based on energy conversion. In addition, a control-and-monitoring strategy is launched in the system to realize the normal collecting for the output power of PV-TE system. Finally, a battery protection circuit is performed to ensure that the energy converted by the entire system is effectively stored. The experimental results show that more electrical energy about 84034J was obtained with our energy harvesting system than that of a single photovoltaic cell. Besides, the thermal gradient of photovoltaic cells is indirectly reduced the operation of the whole system is automatically monitored due to the proposed intelligent power-track switching technique.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5370B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723BC" w:rsidRDefault="00CB73A9" w:rsidP="007723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3BC">
        <w:rPr>
          <w:rFonts w:ascii="Times New Roman" w:hAnsi="Times New Roman" w:cs="Times New Roman"/>
          <w:sz w:val="32"/>
          <w:szCs w:val="32"/>
          <w:lang w:val="en-IN"/>
        </w:rPr>
        <w:t xml:space="preserve">These systems have gained recognition in recent times, and noticeable scientific works have aimed at making PV-TEG systems more dependable and feasible. </w:t>
      </w:r>
    </w:p>
    <w:p w:rsidR="00000000" w:rsidRPr="007723BC" w:rsidRDefault="00CB73A9" w:rsidP="007723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3BC">
        <w:rPr>
          <w:rFonts w:ascii="Times New Roman" w:hAnsi="Times New Roman" w:cs="Times New Roman"/>
          <w:sz w:val="32"/>
          <w:szCs w:val="32"/>
          <w:lang w:val="en-IN"/>
        </w:rPr>
        <w:t xml:space="preserve">Both experimental </w:t>
      </w:r>
      <w:r w:rsidRPr="007723BC">
        <w:rPr>
          <w:rFonts w:ascii="Times New Roman" w:hAnsi="Times New Roman" w:cs="Times New Roman"/>
          <w:sz w:val="32"/>
          <w:szCs w:val="32"/>
          <w:lang w:val="en-IN"/>
        </w:rPr>
        <w:t xml:space="preserve">and analytical studies on the hybrid system's performance improvement have been technically reviewed in this paper. </w:t>
      </w:r>
    </w:p>
    <w:p w:rsidR="00000000" w:rsidRPr="007723BC" w:rsidRDefault="00CB73A9" w:rsidP="007723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3BC">
        <w:rPr>
          <w:rFonts w:ascii="Times New Roman" w:hAnsi="Times New Roman" w:cs="Times New Roman"/>
          <w:sz w:val="32"/>
          <w:szCs w:val="32"/>
          <w:lang w:val="en-IN"/>
        </w:rPr>
        <w:t>In general, the cold side of the TEG is cooled using various techniques to maintain a large temperature difference in the TEG.</w:t>
      </w:r>
    </w:p>
    <w:p w:rsidR="00000000" w:rsidRPr="007723BC" w:rsidRDefault="00CB73A9" w:rsidP="007723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723BC">
        <w:rPr>
          <w:rFonts w:ascii="Times New Roman" w:hAnsi="Times New Roman" w:cs="Times New Roman"/>
          <w:sz w:val="32"/>
          <w:szCs w:val="32"/>
          <w:lang w:val="en-IN"/>
        </w:rPr>
        <w:t>By increas</w:t>
      </w:r>
      <w:r w:rsidRPr="007723BC">
        <w:rPr>
          <w:rFonts w:ascii="Times New Roman" w:hAnsi="Times New Roman" w:cs="Times New Roman"/>
          <w:sz w:val="32"/>
          <w:szCs w:val="32"/>
          <w:lang w:val="en-IN"/>
        </w:rPr>
        <w:t>ing the hot junction temperature, the TEG temperature difference can also be increased. However, only a few PVTEG system configurations use this technique to maintain the temperature gradient.</w:t>
      </w:r>
      <w:r w:rsidRPr="007723B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23BC" w:rsidRDefault="00CB73A9" w:rsidP="007723BC">
      <w:pPr>
        <w:numPr>
          <w:ilvl w:val="0"/>
          <w:numId w:val="43"/>
        </w:numPr>
        <w:tabs>
          <w:tab w:val="left" w:pos="1134"/>
        </w:tabs>
        <w:spacing w:line="360" w:lineRule="auto"/>
        <w:jc w:val="both"/>
        <w:rPr>
          <w:rFonts w:ascii="Times New Roman" w:hAnsi="Times New Roman" w:cs="Times New Roman"/>
          <w:bCs/>
          <w:sz w:val="32"/>
          <w:szCs w:val="32"/>
          <w:lang w:val="en-IN"/>
        </w:rPr>
      </w:pPr>
      <w:r w:rsidRPr="007723BC">
        <w:rPr>
          <w:rFonts w:ascii="Times New Roman" w:hAnsi="Times New Roman" w:cs="Times New Roman"/>
          <w:bCs/>
          <w:sz w:val="32"/>
          <w:szCs w:val="32"/>
          <w:lang w:val="en-IN"/>
        </w:rPr>
        <w:t>The electric power generation around the world is changing to</w:t>
      </w:r>
      <w:r w:rsidRPr="007723BC">
        <w:rPr>
          <w:rFonts w:ascii="Times New Roman" w:hAnsi="Times New Roman" w:cs="Times New Roman"/>
          <w:bCs/>
          <w:sz w:val="32"/>
          <w:szCs w:val="32"/>
          <w:lang w:val="en-IN"/>
        </w:rPr>
        <w:t xml:space="preserve">wards the environmentally friendly because the use of conventional source-based power generation causes more environmental issues, such as the emission of greenhouse gases, global warming, and air pollution. </w:t>
      </w:r>
    </w:p>
    <w:p w:rsidR="00000000" w:rsidRPr="007723BC" w:rsidRDefault="00CB73A9" w:rsidP="007723BC">
      <w:pPr>
        <w:numPr>
          <w:ilvl w:val="0"/>
          <w:numId w:val="43"/>
        </w:numPr>
        <w:spacing w:line="360" w:lineRule="auto"/>
        <w:jc w:val="both"/>
        <w:rPr>
          <w:rFonts w:ascii="Times New Roman" w:hAnsi="Times New Roman" w:cs="Times New Roman"/>
          <w:bCs/>
          <w:sz w:val="32"/>
          <w:szCs w:val="32"/>
          <w:lang w:val="en-IN"/>
        </w:rPr>
      </w:pPr>
      <w:r w:rsidRPr="007723BC">
        <w:rPr>
          <w:rFonts w:ascii="Times New Roman" w:hAnsi="Times New Roman" w:cs="Times New Roman"/>
          <w:bCs/>
          <w:sz w:val="32"/>
          <w:szCs w:val="32"/>
          <w:lang w:val="en-IN"/>
        </w:rPr>
        <w:t>Therefore, the use of renewable energy sources</w:t>
      </w:r>
      <w:r w:rsidRPr="007723BC">
        <w:rPr>
          <w:rFonts w:ascii="Times New Roman" w:hAnsi="Times New Roman" w:cs="Times New Roman"/>
          <w:bCs/>
          <w:sz w:val="32"/>
          <w:szCs w:val="32"/>
          <w:lang w:val="en-IN"/>
        </w:rPr>
        <w:t xml:space="preserve"> becomes essential to minimize the damages to the environmental and to protect human health.</w:t>
      </w:r>
    </w:p>
    <w:p w:rsidR="00000000" w:rsidRPr="007723BC" w:rsidRDefault="00CB73A9" w:rsidP="007723BC">
      <w:pPr>
        <w:numPr>
          <w:ilvl w:val="0"/>
          <w:numId w:val="43"/>
        </w:numPr>
        <w:spacing w:line="360" w:lineRule="auto"/>
        <w:jc w:val="both"/>
        <w:rPr>
          <w:rFonts w:ascii="Times New Roman" w:hAnsi="Times New Roman" w:cs="Times New Roman"/>
          <w:b/>
          <w:sz w:val="36"/>
          <w:szCs w:val="36"/>
          <w:lang w:val="en-IN"/>
        </w:rPr>
      </w:pPr>
      <w:r w:rsidRPr="007723BC">
        <w:rPr>
          <w:rFonts w:ascii="Times New Roman" w:hAnsi="Times New Roman" w:cs="Times New Roman"/>
          <w:bCs/>
          <w:sz w:val="32"/>
          <w:szCs w:val="32"/>
          <w:lang w:val="en-IN"/>
        </w:rPr>
        <w:lastRenderedPageBreak/>
        <w:t>The waste heat due to solar irradiation will increase the PV cell temperature above the ambient level, which causes the power conversion efficiency of the PV cell</w:t>
      </w:r>
      <w:r w:rsidRPr="007723BC">
        <w:rPr>
          <w:rFonts w:ascii="Times New Roman" w:hAnsi="Times New Roman" w:cs="Times New Roman"/>
          <w:bCs/>
          <w:sz w:val="32"/>
          <w:szCs w:val="32"/>
          <w:lang w:val="en-IN"/>
        </w:rPr>
        <w:t>s to reduce at a considerable level.</w:t>
      </w:r>
      <w:r w:rsidRPr="007723BC">
        <w:rPr>
          <w:rFonts w:ascii="Times New Roman" w:hAnsi="Times New Roman" w:cs="Times New Roman"/>
          <w:bCs/>
          <w:sz w:val="32"/>
          <w:szCs w:val="32"/>
        </w:rPr>
        <w:t xml:space="preserve"> </w:t>
      </w:r>
    </w:p>
    <w:p w:rsidR="000B33B0" w:rsidRPr="007723BC" w:rsidRDefault="006A300A" w:rsidP="007723BC">
      <w:pPr>
        <w:spacing w:line="360" w:lineRule="auto"/>
        <w:jc w:val="both"/>
        <w:rPr>
          <w:rFonts w:ascii="Times New Roman" w:eastAsia="Times New Roman" w:hAnsi="Times New Roman" w:cs="Times New Roman"/>
          <w:sz w:val="32"/>
          <w:szCs w:val="32"/>
        </w:rPr>
      </w:pPr>
      <w:r w:rsidRPr="007723BC">
        <w:rPr>
          <w:rFonts w:ascii="Times New Roman" w:hAnsi="Times New Roman" w:cs="Times New Roman"/>
          <w:b/>
          <w:sz w:val="36"/>
          <w:szCs w:val="36"/>
        </w:rPr>
        <w:t xml:space="preserve">2.2. PROPOSED </w:t>
      </w:r>
      <w:r w:rsidR="000B33B0" w:rsidRPr="007723BC">
        <w:rPr>
          <w:rFonts w:ascii="Times New Roman" w:hAnsi="Times New Roman" w:cs="Times New Roman"/>
          <w:b/>
          <w:sz w:val="36"/>
          <w:szCs w:val="36"/>
        </w:rPr>
        <w:t xml:space="preserve">SYSTEM </w:t>
      </w:r>
    </w:p>
    <w:p w:rsidR="007723BC" w:rsidRPr="007723BC" w:rsidRDefault="007723BC" w:rsidP="007723BC">
      <w:pPr>
        <w:pStyle w:val="NormalWeb"/>
        <w:numPr>
          <w:ilvl w:val="0"/>
          <w:numId w:val="44"/>
        </w:numPr>
        <w:spacing w:before="0" w:beforeAutospacing="0" w:after="0" w:afterAutospacing="0" w:line="360" w:lineRule="auto"/>
        <w:ind w:left="284" w:hanging="142"/>
        <w:jc w:val="both"/>
        <w:rPr>
          <w:sz w:val="32"/>
          <w:szCs w:val="32"/>
        </w:rPr>
      </w:pPr>
      <w:r w:rsidRPr="007723BC">
        <w:rPr>
          <w:sz w:val="32"/>
          <w:szCs w:val="32"/>
        </w:rPr>
        <w:t xml:space="preserve">The proposed method's maximum electrical efficiency was 17.448% at 2 KΩ electrical load resistance, 229.698 W/m2 irradiances, 3.083 mm TE module height value, and 303 to 353 K ambient temperature values for optimum operating parameters. </w:t>
      </w:r>
    </w:p>
    <w:p w:rsidR="007723BC" w:rsidRPr="007723BC" w:rsidRDefault="007723BC" w:rsidP="007723BC">
      <w:pPr>
        <w:pStyle w:val="NormalWeb"/>
        <w:numPr>
          <w:ilvl w:val="0"/>
          <w:numId w:val="44"/>
        </w:numPr>
        <w:spacing w:before="0" w:beforeAutospacing="0" w:after="0" w:afterAutospacing="0" w:line="360" w:lineRule="auto"/>
        <w:ind w:left="284" w:hanging="142"/>
        <w:jc w:val="both"/>
        <w:rPr>
          <w:sz w:val="32"/>
          <w:szCs w:val="32"/>
        </w:rPr>
      </w:pPr>
      <w:r w:rsidRPr="007723BC">
        <w:rPr>
          <w:sz w:val="32"/>
          <w:szCs w:val="32"/>
        </w:rPr>
        <w:t xml:space="preserve">The MPPT controller was attached to the system to maximise the energy output from TEG and PV systems separately. </w:t>
      </w:r>
    </w:p>
    <w:p w:rsidR="007723BC" w:rsidRPr="007723BC" w:rsidRDefault="007723BC" w:rsidP="007723BC">
      <w:pPr>
        <w:pStyle w:val="NormalWeb"/>
        <w:numPr>
          <w:ilvl w:val="0"/>
          <w:numId w:val="44"/>
        </w:numPr>
        <w:spacing w:before="0" w:beforeAutospacing="0" w:after="0" w:afterAutospacing="0" w:line="360" w:lineRule="auto"/>
        <w:ind w:left="284" w:hanging="142"/>
        <w:jc w:val="both"/>
        <w:rPr>
          <w:sz w:val="32"/>
          <w:szCs w:val="32"/>
        </w:rPr>
      </w:pPr>
      <w:r w:rsidRPr="007723BC">
        <w:rPr>
          <w:sz w:val="32"/>
          <w:szCs w:val="32"/>
        </w:rPr>
        <w:t xml:space="preserve">For the PV, the MPPT was employed based on power versus voltage characteristics (Javed et al., 2018). While power versus current characteristics for the TEG. </w:t>
      </w:r>
    </w:p>
    <w:p w:rsidR="00BB3207" w:rsidRDefault="007723BC" w:rsidP="007723BC">
      <w:pPr>
        <w:pStyle w:val="NormalWeb"/>
        <w:numPr>
          <w:ilvl w:val="0"/>
          <w:numId w:val="44"/>
        </w:numPr>
        <w:spacing w:before="0" w:beforeAutospacing="0" w:after="0" w:afterAutospacing="0" w:line="360" w:lineRule="auto"/>
        <w:ind w:left="284" w:hanging="142"/>
        <w:jc w:val="both"/>
        <w:rPr>
          <w:sz w:val="32"/>
          <w:szCs w:val="32"/>
        </w:rPr>
      </w:pPr>
      <w:r w:rsidRPr="007723BC">
        <w:rPr>
          <w:sz w:val="32"/>
          <w:szCs w:val="32"/>
        </w:rPr>
        <w:t>For TE, the MPPT was used based on power versus current TEG characteristics (Amaral et al., 2014). Luo et al. (2020) presented the proposed system’s layout.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723BC" w:rsidRDefault="00CB73A9" w:rsidP="007723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3BC">
        <w:rPr>
          <w:rFonts w:ascii="Times New Roman" w:eastAsia="AdvGulliv-R" w:hAnsi="Times New Roman" w:cs="Times New Roman"/>
          <w:bCs/>
          <w:sz w:val="32"/>
          <w:szCs w:val="32"/>
          <w:lang w:val="en-IN"/>
        </w:rPr>
        <w:t>In this paper, the design and performance investigation of the hybrid photovoltaic– thermoelectric generator (PV–TEG) system with an enhanced fractional ord</w:t>
      </w:r>
      <w:r w:rsidRPr="007723BC">
        <w:rPr>
          <w:rFonts w:ascii="Times New Roman" w:eastAsia="AdvGulliv-R" w:hAnsi="Times New Roman" w:cs="Times New Roman"/>
          <w:bCs/>
          <w:sz w:val="32"/>
          <w:szCs w:val="32"/>
          <w:lang w:val="en-IN"/>
        </w:rPr>
        <w:t>er fuzzy logic controller (FOFLC)-based maximum power point tracking (MPPT) technique is presented.</w:t>
      </w:r>
    </w:p>
    <w:p w:rsidR="00000000" w:rsidRPr="007723BC" w:rsidRDefault="00CB73A9" w:rsidP="007723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3BC">
        <w:rPr>
          <w:rFonts w:ascii="Times New Roman" w:eastAsia="AdvGulliv-R" w:hAnsi="Times New Roman" w:cs="Times New Roman"/>
          <w:bCs/>
          <w:sz w:val="32"/>
          <w:szCs w:val="32"/>
          <w:lang w:val="en-IN"/>
        </w:rPr>
        <w:lastRenderedPageBreak/>
        <w:t>The performance of the proposed MPPT technique is studied for the PV–TEG hybrid energy module under various thermal and electrical operating conditions usi</w:t>
      </w:r>
      <w:r w:rsidRPr="007723BC">
        <w:rPr>
          <w:rFonts w:ascii="Times New Roman" w:eastAsia="AdvGulliv-R" w:hAnsi="Times New Roman" w:cs="Times New Roman"/>
          <w:bCs/>
          <w:sz w:val="32"/>
          <w:szCs w:val="32"/>
          <w:lang w:val="en-IN"/>
        </w:rPr>
        <w:t>ng a MATLAB software-based simulation.</w:t>
      </w:r>
    </w:p>
    <w:p w:rsidR="00000000" w:rsidRPr="007723BC" w:rsidRDefault="00CB73A9" w:rsidP="007723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3BC">
        <w:rPr>
          <w:rFonts w:ascii="Times New Roman" w:eastAsia="AdvGulliv-R" w:hAnsi="Times New Roman" w:cs="Times New Roman"/>
          <w:bCs/>
          <w:sz w:val="32"/>
          <w:szCs w:val="32"/>
          <w:lang w:val="en-IN"/>
        </w:rPr>
        <w:t>The energy conversion efficiency of TEGs is usually around 5–10% ; the efficiency level can be improved by enhancing the electrical and/or thermal performance of the TEs.</w:t>
      </w:r>
    </w:p>
    <w:p w:rsidR="00000000" w:rsidRPr="007723BC" w:rsidRDefault="00CB73A9" w:rsidP="007723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3BC">
        <w:rPr>
          <w:rFonts w:ascii="Times New Roman" w:eastAsia="AdvGulliv-R" w:hAnsi="Times New Roman" w:cs="Times New Roman"/>
          <w:bCs/>
          <w:sz w:val="32"/>
          <w:szCs w:val="32"/>
          <w:lang w:val="en-IN"/>
        </w:rPr>
        <w:t>The assessment conducted in based on the com</w:t>
      </w:r>
      <w:r w:rsidRPr="007723BC">
        <w:rPr>
          <w:rFonts w:ascii="Times New Roman" w:eastAsia="AdvGulliv-R" w:hAnsi="Times New Roman" w:cs="Times New Roman"/>
          <w:bCs/>
          <w:sz w:val="32"/>
          <w:szCs w:val="32"/>
          <w:lang w:val="en-IN"/>
        </w:rPr>
        <w:t>mercial data proved that the PV–TEG module will improve the system performance compared to the individual PV array.</w:t>
      </w:r>
      <w:r w:rsidRPr="007723B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098"/>
        <w:gridCol w:w="3105"/>
        <w:gridCol w:w="3373"/>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The theoretical performance evaluation of hybrid PV-TEG system</w:t>
            </w:r>
          </w:p>
        </w:tc>
        <w:tc>
          <w:tcPr>
            <w:tcW w:w="3192" w:type="dxa"/>
          </w:tcPr>
          <w:p w:rsidR="000C407B" w:rsidRPr="007723BC" w:rsidRDefault="007723BC" w:rsidP="007723BC">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 xml:space="preserve">Babu, C.; Ponnambalam, P. </w:t>
            </w:r>
          </w:p>
        </w:tc>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color w:val="2E2E2E"/>
                <w:sz w:val="28"/>
                <w:szCs w:val="28"/>
              </w:rPr>
              <w:t>The photovoltaic (PV) module subjected to solar irradiation utilizes photon energy but also absorbs the heat energy. </w:t>
            </w:r>
          </w:p>
        </w:tc>
      </w:tr>
      <w:tr w:rsidR="000C407B" w:rsidTr="000C407B">
        <w:trPr>
          <w:trHeight w:val="2942"/>
        </w:trPr>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Feasibility of a photovoltaic thermoelectric generator: Performance analysis and simulation results</w:t>
            </w:r>
          </w:p>
        </w:tc>
        <w:tc>
          <w:tcPr>
            <w:tcW w:w="3192" w:type="dxa"/>
          </w:tcPr>
          <w:p w:rsidR="000C407B" w:rsidRPr="007723BC" w:rsidRDefault="007723BC" w:rsidP="007723BC">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 xml:space="preserve">Attivissimo, F.; Di Nisio, A.; Lanzolla, A.M.L.; Paul, M. </w:t>
            </w:r>
          </w:p>
        </w:tc>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color w:val="333333"/>
                <w:sz w:val="28"/>
                <w:szCs w:val="28"/>
                <w:shd w:val="clear" w:color="auto" w:fill="FFFFFF"/>
              </w:rPr>
              <w:t>This paper describes a theoretical approach to evaluate the performance of a hybrid solar system made with photovoltaic cells and thermoelectric (TE) modules.</w:t>
            </w:r>
          </w:p>
        </w:tc>
      </w:tr>
      <w:tr w:rsidR="000C407B" w:rsidTr="000C407B">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 xml:space="preserve">Global advancement of </w:t>
            </w:r>
            <w:r w:rsidRPr="007723BC">
              <w:rPr>
                <w:rFonts w:ascii="Times New Roman" w:hAnsi="Times New Roman" w:cs="Times New Roman"/>
                <w:sz w:val="28"/>
                <w:szCs w:val="28"/>
              </w:rPr>
              <w:lastRenderedPageBreak/>
              <w:t>cooling technologies for PV systems: A review</w:t>
            </w:r>
          </w:p>
        </w:tc>
        <w:tc>
          <w:tcPr>
            <w:tcW w:w="3192" w:type="dxa"/>
          </w:tcPr>
          <w:p w:rsidR="000C407B" w:rsidRPr="007723BC" w:rsidRDefault="007723BC" w:rsidP="007723BC">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lastRenderedPageBreak/>
              <w:t xml:space="preserve">. Hasanuzzaman, M.; </w:t>
            </w:r>
            <w:r w:rsidRPr="007723BC">
              <w:rPr>
                <w:rFonts w:ascii="Times New Roman" w:hAnsi="Times New Roman" w:cs="Times New Roman"/>
                <w:sz w:val="28"/>
                <w:szCs w:val="28"/>
              </w:rPr>
              <w:lastRenderedPageBreak/>
              <w:t xml:space="preserve">Malek, A.B.M.A.; Islam, M.M.; Pandey, A.K.; Rahim, N.A. </w:t>
            </w:r>
          </w:p>
        </w:tc>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color w:val="333333"/>
                <w:sz w:val="28"/>
                <w:szCs w:val="28"/>
                <w:shd w:val="clear" w:color="auto" w:fill="FFFFFF"/>
              </w:rPr>
              <w:lastRenderedPageBreak/>
              <w:t xml:space="preserve"> Most of the research goals </w:t>
            </w:r>
            <w:r w:rsidRPr="007723BC">
              <w:rPr>
                <w:rFonts w:ascii="Times New Roman" w:hAnsi="Times New Roman" w:cs="Times New Roman"/>
                <w:color w:val="333333"/>
                <w:sz w:val="28"/>
                <w:szCs w:val="28"/>
                <w:shd w:val="clear" w:color="auto" w:fill="FFFFFF"/>
              </w:rPr>
              <w:lastRenderedPageBreak/>
              <w:t>were twofold, that is to enhance the efficiency of the solar PV systems and to ensure a longer life at the same time</w:t>
            </w:r>
          </w:p>
        </w:tc>
      </w:tr>
      <w:tr w:rsidR="000C407B" w:rsidTr="000C407B">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lastRenderedPageBreak/>
              <w:t>Characteristics analysis and parametric study of a thermoelectric generator by considering variable material properties and heat losses</w:t>
            </w:r>
          </w:p>
        </w:tc>
        <w:tc>
          <w:tcPr>
            <w:tcW w:w="3192" w:type="dxa"/>
          </w:tcPr>
          <w:p w:rsidR="000C407B" w:rsidRPr="007723BC" w:rsidRDefault="007723BC" w:rsidP="007723BC">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sz w:val="28"/>
                <w:szCs w:val="28"/>
              </w:rPr>
              <w:t xml:space="preserve">Meng, J.H.; Zhang, X.X.; Wang, X.D. </w:t>
            </w:r>
          </w:p>
        </w:tc>
        <w:tc>
          <w:tcPr>
            <w:tcW w:w="3192" w:type="dxa"/>
          </w:tcPr>
          <w:p w:rsidR="000C407B" w:rsidRPr="007723BC" w:rsidRDefault="007723BC" w:rsidP="00E53AA4">
            <w:pPr>
              <w:tabs>
                <w:tab w:val="left" w:pos="720"/>
              </w:tabs>
              <w:spacing w:after="100" w:line="360" w:lineRule="auto"/>
              <w:jc w:val="both"/>
              <w:rPr>
                <w:rFonts w:ascii="Times New Roman" w:hAnsi="Times New Roman" w:cs="Times New Roman"/>
                <w:sz w:val="28"/>
                <w:szCs w:val="28"/>
              </w:rPr>
            </w:pPr>
            <w:r w:rsidRPr="007723BC">
              <w:rPr>
                <w:rFonts w:ascii="Times New Roman" w:hAnsi="Times New Roman" w:cs="Times New Roman"/>
                <w:color w:val="2E2E2E"/>
                <w:sz w:val="28"/>
                <w:szCs w:val="28"/>
              </w:rPr>
              <w:t>The output power and conversion efficiency of the </w:t>
            </w:r>
            <w:hyperlink r:id="rId8" w:tooltip="Learn more about Thermoelectrics from ScienceDirect's AI-generated Topic Pages" w:history="1">
              <w:r w:rsidRPr="007723BC">
                <w:rPr>
                  <w:rStyle w:val="Hyperlink"/>
                  <w:rFonts w:ascii="Times New Roman" w:hAnsi="Times New Roman" w:cs="Times New Roman"/>
                  <w:color w:val="2E2E2E"/>
                  <w:sz w:val="28"/>
                  <w:szCs w:val="28"/>
                </w:rPr>
                <w:t>thermoelectric</w:t>
              </w:r>
            </w:hyperlink>
            <w:r w:rsidRPr="007723BC">
              <w:rPr>
                <w:rFonts w:ascii="Times New Roman" w:hAnsi="Times New Roman" w:cs="Times New Roman"/>
                <w:color w:val="2E2E2E"/>
                <w:sz w:val="28"/>
                <w:szCs w:val="28"/>
              </w:rPr>
              <w:t> generator (TEG) are closely related to not only the materials properties but also the geometric structure. </w:t>
            </w:r>
          </w:p>
        </w:tc>
      </w:tr>
    </w:tbl>
    <w:p w:rsidR="00311085" w:rsidRDefault="0031108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311085" w:rsidRDefault="00801748" w:rsidP="0031108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11085" w:rsidRPr="00311085" w:rsidRDefault="00311085" w:rsidP="00311085">
      <w:pPr>
        <w:spacing w:line="360" w:lineRule="auto"/>
        <w:ind w:left="360"/>
        <w:jc w:val="both"/>
        <w:rPr>
          <w:rFonts w:ascii="Times New Roman" w:hAnsi="Times New Roman" w:cs="Times New Roman"/>
          <w:sz w:val="28"/>
          <w:szCs w:val="28"/>
        </w:rPr>
      </w:pPr>
    </w:p>
    <w:p w:rsidR="00305BF0" w:rsidRPr="00D81E16" w:rsidRDefault="00305BF0" w:rsidP="0031108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11085" w:rsidRDefault="00405E73" w:rsidP="00E53AA4">
      <w:pPr>
        <w:spacing w:after="0" w:line="360" w:lineRule="auto"/>
        <w:jc w:val="both"/>
        <w:rPr>
          <w:rFonts w:ascii="Times New Roman" w:hAnsi="Times New Roman" w:cs="Times New Roman"/>
          <w:b/>
          <w:sz w:val="40"/>
          <w:szCs w:val="40"/>
        </w:rPr>
      </w:pPr>
      <w:r w:rsidRPr="00311085">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11085" w:rsidP="00311085">
      <w:pPr>
        <w:tabs>
          <w:tab w:val="left" w:pos="1701"/>
        </w:tabs>
        <w:spacing w:after="0" w:line="360" w:lineRule="auto"/>
        <w:jc w:val="both"/>
        <w:rPr>
          <w:rFonts w:ascii="Times New Roman" w:hAnsi="Times New Roman" w:cs="Times New Roman"/>
        </w:rPr>
      </w:pPr>
      <w:r w:rsidRPr="00311085">
        <w:rPr>
          <w:rFonts w:ascii="Times New Roman" w:hAnsi="Times New Roman" w:cs="Times New Roman"/>
        </w:rPr>
        <w:drawing>
          <wp:inline distT="0" distB="0" distL="0" distR="0">
            <wp:extent cx="5939746" cy="4648200"/>
            <wp:effectExtent l="19050" t="0" r="3854" b="0"/>
            <wp:docPr id="2"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9"/>
                    <a:srcRect/>
                    <a:stretch>
                      <a:fillRect/>
                    </a:stretch>
                  </pic:blipFill>
                  <pic:spPr bwMode="auto">
                    <a:xfrm>
                      <a:off x="0" y="0"/>
                      <a:ext cx="5943600" cy="465121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311085" w:rsidRDefault="00D81E16" w:rsidP="00311085">
      <w:pPr>
        <w:spacing w:after="0" w:line="360" w:lineRule="auto"/>
        <w:jc w:val="both"/>
        <w:rPr>
          <w:rFonts w:ascii="Times New Roman" w:hAnsi="Times New Roman" w:cs="Times New Roman"/>
          <w:noProof/>
        </w:rPr>
      </w:pPr>
      <w:r>
        <w:rPr>
          <w:rFonts w:ascii="Times New Roman" w:hAnsi="Times New Roman" w:cs="Times New Roman"/>
          <w:noProof/>
        </w:rPr>
        <w:t xml:space="preserve">                                       </w:t>
      </w:r>
    </w:p>
    <w:p w:rsidR="00311085" w:rsidRDefault="00311085" w:rsidP="00311085">
      <w:pPr>
        <w:spacing w:after="0" w:line="360" w:lineRule="auto"/>
        <w:jc w:val="both"/>
        <w:rPr>
          <w:rFonts w:ascii="Times New Roman" w:hAnsi="Times New Roman" w:cs="Times New Roman"/>
          <w:noProof/>
        </w:rPr>
      </w:pPr>
    </w:p>
    <w:p w:rsidR="00311085" w:rsidRDefault="00311085" w:rsidP="00311085">
      <w:pPr>
        <w:spacing w:after="0" w:line="360" w:lineRule="auto"/>
        <w:jc w:val="both"/>
        <w:rPr>
          <w:rFonts w:ascii="Times New Roman" w:hAnsi="Times New Roman" w:cs="Times New Roman"/>
          <w:noProof/>
        </w:rPr>
      </w:pPr>
    </w:p>
    <w:p w:rsidR="00311085" w:rsidRDefault="00311085" w:rsidP="00311085">
      <w:pPr>
        <w:spacing w:after="0" w:line="360" w:lineRule="auto"/>
        <w:jc w:val="both"/>
        <w:rPr>
          <w:rFonts w:ascii="Times New Roman" w:hAnsi="Times New Roman" w:cs="Times New Roman"/>
          <w:b/>
          <w:noProof/>
          <w:sz w:val="28"/>
          <w:szCs w:val="28"/>
        </w:rPr>
      </w:pPr>
    </w:p>
    <w:p w:rsidR="00D81E16" w:rsidRPr="00311085" w:rsidRDefault="00D81E16" w:rsidP="00311085">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11085" w:rsidRPr="00311085" w:rsidRDefault="00311085" w:rsidP="00311085">
      <w:pPr>
        <w:pStyle w:val="BodyText"/>
        <w:rPr>
          <w:bCs/>
          <w:iCs/>
          <w:sz w:val="32"/>
          <w:szCs w:val="32"/>
          <w:lang w:val="en-IN"/>
        </w:rPr>
      </w:pPr>
      <w:r w:rsidRPr="00311085">
        <w:rPr>
          <w:bCs/>
          <w:iCs/>
          <w:sz w:val="32"/>
          <w:szCs w:val="32"/>
          <w:lang w:val="en-IN"/>
        </w:rPr>
        <w:t xml:space="preserve">   A novel FOFLC-based MPP tracking technique for the hybrid PV–TEG renewable energy system was proposed. The variable INC method of MPPT control was employed using the FOFLC for fast and accurate tracking and minimizing the power losses. The model of the PV and TEG was developed using the theoretical background; the seriesconnected PV and TEG energy module was used for investigating the proposed MPPT control scheme. The results of the investigation confirmed that the hybrid energy system with the proposed FOFLC-based MPP tracking technique can harvest the maximum power output under varying environmental conditions. Moreover, the MPP tracking ability of the proposed MPPT control technique was compared with the conventional P&amp;O and FLC-based P&amp;O tracking techniques; the comparison results proved that the proposed control technique has better performance in terms of speed and accuracy.</w:t>
      </w:r>
      <w:r w:rsidRPr="00311085">
        <w:rPr>
          <w:bCs/>
          <w:iCs/>
          <w:sz w:val="32"/>
          <w:szCs w:val="32"/>
        </w:rPr>
        <w:t xml:space="preserve"> </w:t>
      </w:r>
    </w:p>
    <w:p w:rsidR="001F1E5A" w:rsidRPr="00311085" w:rsidRDefault="001F1E5A" w:rsidP="00E53AA4">
      <w:pPr>
        <w:pStyle w:val="BodyText"/>
        <w:rPr>
          <w:bCs/>
          <w:iCs/>
          <w:sz w:val="32"/>
          <w:szCs w:val="32"/>
        </w:rPr>
      </w:pPr>
    </w:p>
    <w:p w:rsidR="003C0F6F" w:rsidRDefault="003C0F6F"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11085" w:rsidRDefault="003110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11085" w:rsidRDefault="00CB73A9" w:rsidP="00311085">
      <w:pPr>
        <w:pStyle w:val="BodyText"/>
        <w:numPr>
          <w:ilvl w:val="0"/>
          <w:numId w:val="46"/>
        </w:numPr>
        <w:rPr>
          <w:sz w:val="32"/>
          <w:szCs w:val="32"/>
          <w:lang w:val="en-IN"/>
        </w:rPr>
      </w:pPr>
      <w:r w:rsidRPr="00311085">
        <w:rPr>
          <w:sz w:val="32"/>
          <w:szCs w:val="32"/>
          <w:lang w:val="en-IN"/>
        </w:rPr>
        <w:t>1. Babu, C.; Ponnambalam, P. The theoretical performance evaluation of hybrid PV-TEG system. Energy Convers. Manag. 2018, 173, 450–4</w:t>
      </w:r>
      <w:r w:rsidRPr="00311085">
        <w:rPr>
          <w:sz w:val="32"/>
          <w:szCs w:val="32"/>
          <w:lang w:val="en-IN"/>
        </w:rPr>
        <w:t xml:space="preserve">60.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 xml:space="preserve">2. Attivissimo, F.; Di Nisio, A.; Lanzolla, A.M.L.; Paul, M. Feasibility of a photovoltaic thermoelectric generator: Performance analysis and simulation results. IEEE Trans. Instrum. Meas. 2015, 64, 1158–1169.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3. Hasanuzzaman</w:t>
      </w:r>
      <w:r w:rsidRPr="00311085">
        <w:rPr>
          <w:sz w:val="32"/>
          <w:szCs w:val="32"/>
          <w:lang w:val="en-IN"/>
        </w:rPr>
        <w:t xml:space="preserve">, M.; Malek, A.B.M.A.; Islam, M.M.; Pandey, A.K.; Rahim, N.A. Global advancement of cooling technologies for PV systems: A review. Sol. Energy 2016, 137, 25–45.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 xml:space="preserve">4. Ahmet, S.; Kehinde, I.; Bekir, Y.; Abdullah, S. A review on the performance of </w:t>
      </w:r>
      <w:r w:rsidRPr="00311085">
        <w:rPr>
          <w:sz w:val="32"/>
          <w:szCs w:val="32"/>
          <w:lang w:val="en-IN"/>
        </w:rPr>
        <w:t xml:space="preserve">photovoltaic/thermoelectric hybrid generators. Int. J. Energy Res. 2020, 44, 3365–3394. </w:t>
      </w:r>
    </w:p>
    <w:p w:rsidR="00000000" w:rsidRPr="00311085" w:rsidRDefault="00CB73A9" w:rsidP="00311085">
      <w:pPr>
        <w:pStyle w:val="BodyText"/>
        <w:numPr>
          <w:ilvl w:val="0"/>
          <w:numId w:val="46"/>
        </w:numPr>
        <w:rPr>
          <w:sz w:val="32"/>
          <w:szCs w:val="32"/>
          <w:lang w:val="en-IN"/>
        </w:rPr>
      </w:pPr>
      <w:r w:rsidRPr="00311085">
        <w:rPr>
          <w:sz w:val="32"/>
          <w:szCs w:val="32"/>
          <w:lang w:val="en-IN"/>
        </w:rPr>
        <w:t>5. Meng, J.H.; Zhang, X.X.; Wang, X.D. Characteristics analysis and parametric study of a thermoelectric generator by considering variable material properties and hea</w:t>
      </w:r>
      <w:r w:rsidRPr="00311085">
        <w:rPr>
          <w:sz w:val="32"/>
          <w:szCs w:val="32"/>
          <w:lang w:val="en-IN"/>
        </w:rPr>
        <w:t>t losses. Int. J. Heat Mass Transf. 2015, 80, 227–235. [CrossRef]</w:t>
      </w:r>
      <w:r w:rsidRPr="00311085">
        <w:rPr>
          <w:sz w:val="32"/>
          <w:szCs w:val="32"/>
        </w:rPr>
        <w:t xml:space="preserve"> </w:t>
      </w:r>
    </w:p>
    <w:p w:rsidR="00000000" w:rsidRPr="00311085" w:rsidRDefault="00CB73A9" w:rsidP="00311085">
      <w:pPr>
        <w:pStyle w:val="BodyText"/>
        <w:numPr>
          <w:ilvl w:val="0"/>
          <w:numId w:val="46"/>
        </w:numPr>
        <w:rPr>
          <w:sz w:val="32"/>
          <w:szCs w:val="32"/>
          <w:lang w:val="en-IN"/>
        </w:rPr>
      </w:pPr>
      <w:r w:rsidRPr="00311085">
        <w:rPr>
          <w:sz w:val="32"/>
          <w:szCs w:val="32"/>
          <w:lang w:val="en-IN"/>
        </w:rPr>
        <w:t xml:space="preserve">6. Laird, I.; Lu, D. High step-up DC/DC topology and MPPT algorithm for use with a thermoelectric generator. IEEE Trans. Power Electron. 2013, 28, 3147–3157.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lastRenderedPageBreak/>
        <w:t>7. Hsiao, Y.Y.; C</w:t>
      </w:r>
      <w:r w:rsidRPr="00311085">
        <w:rPr>
          <w:sz w:val="32"/>
          <w:szCs w:val="32"/>
          <w:lang w:val="en-IN"/>
        </w:rPr>
        <w:t xml:space="preserve">hang, W.C.; Chen, S.L. A Mathematic Model of Thermoelectric Module with Applications on Waste Heat Recovery from Automobile Engine. Energy 2010, 35, 1447–1454.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8. McEnaney, K.; Kraemer, D.; Ren, Z.; Chen, G. Modeling of Concentrating Solar The</w:t>
      </w:r>
      <w:r w:rsidRPr="00311085">
        <w:rPr>
          <w:sz w:val="32"/>
          <w:szCs w:val="32"/>
          <w:lang w:val="en-IN"/>
        </w:rPr>
        <w:t xml:space="preserve">rmoelectric Generators. J. Appl. Phys. 2011, 110, 074502.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9. Kumar, S.; Heister, S.D.; Xu, X.; Salvador, J.R.; Meisenr, G.P. Thermoelectric generators for automotive waste heat recovery systems. Part I: Numerical modeling and baseline model an</w:t>
      </w:r>
      <w:r w:rsidRPr="00311085">
        <w:rPr>
          <w:sz w:val="32"/>
          <w:szCs w:val="32"/>
          <w:lang w:val="en-IN"/>
        </w:rPr>
        <w:t xml:space="preserve">alysis. J. Electron. Mater. 2013, 42, 665–674. [CrossRef] </w:t>
      </w:r>
    </w:p>
    <w:p w:rsidR="00000000" w:rsidRPr="00311085" w:rsidRDefault="00CB73A9" w:rsidP="00311085">
      <w:pPr>
        <w:pStyle w:val="BodyText"/>
        <w:numPr>
          <w:ilvl w:val="0"/>
          <w:numId w:val="46"/>
        </w:numPr>
        <w:rPr>
          <w:sz w:val="32"/>
          <w:szCs w:val="32"/>
          <w:lang w:val="en-IN"/>
        </w:rPr>
      </w:pPr>
      <w:r w:rsidRPr="00311085">
        <w:rPr>
          <w:sz w:val="32"/>
          <w:szCs w:val="32"/>
          <w:lang w:val="en-IN"/>
        </w:rPr>
        <w:t xml:space="preserve">10. Wang, P.; Wang, B.L.; Li, J.E. Temperature and performance modeling of thermoelectric generators. Int. J. Heat Mass Transf. 2019, 143, 1145–1153. [CrossRef]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3A9" w:rsidRDefault="00CB73A9" w:rsidP="003654DF">
      <w:pPr>
        <w:spacing w:after="0" w:line="240" w:lineRule="auto"/>
      </w:pPr>
      <w:r>
        <w:separator/>
      </w:r>
    </w:p>
  </w:endnote>
  <w:endnote w:type="continuationSeparator" w:id="1">
    <w:p w:rsidR="00CB73A9" w:rsidRDefault="00CB73A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3A9" w:rsidRDefault="00CB73A9" w:rsidP="003654DF">
      <w:pPr>
        <w:spacing w:after="0" w:line="240" w:lineRule="auto"/>
      </w:pPr>
      <w:r>
        <w:separator/>
      </w:r>
    </w:p>
  </w:footnote>
  <w:footnote w:type="continuationSeparator" w:id="1">
    <w:p w:rsidR="00CB73A9" w:rsidRDefault="00CB73A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D170E">
        <w:pPr>
          <w:pStyle w:val="Header"/>
          <w:jc w:val="right"/>
        </w:pPr>
        <w:fldSimple w:instr=" PAGE   \* MERGEFORMAT ">
          <w:r w:rsidR="0031108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B7D5D"/>
    <w:multiLevelType w:val="hybridMultilevel"/>
    <w:tmpl w:val="65B8D764"/>
    <w:lvl w:ilvl="0" w:tplc="CE181EAE">
      <w:start w:val="1"/>
      <w:numFmt w:val="bullet"/>
      <w:lvlText w:val=""/>
      <w:lvlJc w:val="left"/>
      <w:pPr>
        <w:tabs>
          <w:tab w:val="num" w:pos="720"/>
        </w:tabs>
        <w:ind w:left="720" w:hanging="360"/>
      </w:pPr>
      <w:rPr>
        <w:rFonts w:ascii="Wingdings 2" w:hAnsi="Wingdings 2" w:hint="default"/>
      </w:rPr>
    </w:lvl>
    <w:lvl w:ilvl="1" w:tplc="5BD43346" w:tentative="1">
      <w:start w:val="1"/>
      <w:numFmt w:val="bullet"/>
      <w:lvlText w:val=""/>
      <w:lvlJc w:val="left"/>
      <w:pPr>
        <w:tabs>
          <w:tab w:val="num" w:pos="1440"/>
        </w:tabs>
        <w:ind w:left="1440" w:hanging="360"/>
      </w:pPr>
      <w:rPr>
        <w:rFonts w:ascii="Wingdings 2" w:hAnsi="Wingdings 2" w:hint="default"/>
      </w:rPr>
    </w:lvl>
    <w:lvl w:ilvl="2" w:tplc="67D83CF4" w:tentative="1">
      <w:start w:val="1"/>
      <w:numFmt w:val="bullet"/>
      <w:lvlText w:val=""/>
      <w:lvlJc w:val="left"/>
      <w:pPr>
        <w:tabs>
          <w:tab w:val="num" w:pos="2160"/>
        </w:tabs>
        <w:ind w:left="2160" w:hanging="360"/>
      </w:pPr>
      <w:rPr>
        <w:rFonts w:ascii="Wingdings 2" w:hAnsi="Wingdings 2" w:hint="default"/>
      </w:rPr>
    </w:lvl>
    <w:lvl w:ilvl="3" w:tplc="D2BAD4E8" w:tentative="1">
      <w:start w:val="1"/>
      <w:numFmt w:val="bullet"/>
      <w:lvlText w:val=""/>
      <w:lvlJc w:val="left"/>
      <w:pPr>
        <w:tabs>
          <w:tab w:val="num" w:pos="2880"/>
        </w:tabs>
        <w:ind w:left="2880" w:hanging="360"/>
      </w:pPr>
      <w:rPr>
        <w:rFonts w:ascii="Wingdings 2" w:hAnsi="Wingdings 2" w:hint="default"/>
      </w:rPr>
    </w:lvl>
    <w:lvl w:ilvl="4" w:tplc="5A5CD87E" w:tentative="1">
      <w:start w:val="1"/>
      <w:numFmt w:val="bullet"/>
      <w:lvlText w:val=""/>
      <w:lvlJc w:val="left"/>
      <w:pPr>
        <w:tabs>
          <w:tab w:val="num" w:pos="3600"/>
        </w:tabs>
        <w:ind w:left="3600" w:hanging="360"/>
      </w:pPr>
      <w:rPr>
        <w:rFonts w:ascii="Wingdings 2" w:hAnsi="Wingdings 2" w:hint="default"/>
      </w:rPr>
    </w:lvl>
    <w:lvl w:ilvl="5" w:tplc="00843C86" w:tentative="1">
      <w:start w:val="1"/>
      <w:numFmt w:val="bullet"/>
      <w:lvlText w:val=""/>
      <w:lvlJc w:val="left"/>
      <w:pPr>
        <w:tabs>
          <w:tab w:val="num" w:pos="4320"/>
        </w:tabs>
        <w:ind w:left="4320" w:hanging="360"/>
      </w:pPr>
      <w:rPr>
        <w:rFonts w:ascii="Wingdings 2" w:hAnsi="Wingdings 2" w:hint="default"/>
      </w:rPr>
    </w:lvl>
    <w:lvl w:ilvl="6" w:tplc="37FABF82" w:tentative="1">
      <w:start w:val="1"/>
      <w:numFmt w:val="bullet"/>
      <w:lvlText w:val=""/>
      <w:lvlJc w:val="left"/>
      <w:pPr>
        <w:tabs>
          <w:tab w:val="num" w:pos="5040"/>
        </w:tabs>
        <w:ind w:left="5040" w:hanging="360"/>
      </w:pPr>
      <w:rPr>
        <w:rFonts w:ascii="Wingdings 2" w:hAnsi="Wingdings 2" w:hint="default"/>
      </w:rPr>
    </w:lvl>
    <w:lvl w:ilvl="7" w:tplc="881C41B0" w:tentative="1">
      <w:start w:val="1"/>
      <w:numFmt w:val="bullet"/>
      <w:lvlText w:val=""/>
      <w:lvlJc w:val="left"/>
      <w:pPr>
        <w:tabs>
          <w:tab w:val="num" w:pos="5760"/>
        </w:tabs>
        <w:ind w:left="5760" w:hanging="360"/>
      </w:pPr>
      <w:rPr>
        <w:rFonts w:ascii="Wingdings 2" w:hAnsi="Wingdings 2" w:hint="default"/>
      </w:rPr>
    </w:lvl>
    <w:lvl w:ilvl="8" w:tplc="67A826C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2D290A"/>
    <w:multiLevelType w:val="hybridMultilevel"/>
    <w:tmpl w:val="2F009260"/>
    <w:lvl w:ilvl="0" w:tplc="11E874A8">
      <w:start w:val="1"/>
      <w:numFmt w:val="bullet"/>
      <w:lvlText w:val=""/>
      <w:lvlJc w:val="left"/>
      <w:pPr>
        <w:tabs>
          <w:tab w:val="num" w:pos="720"/>
        </w:tabs>
        <w:ind w:left="720" w:hanging="360"/>
      </w:pPr>
      <w:rPr>
        <w:rFonts w:ascii="Wingdings 2" w:hAnsi="Wingdings 2" w:hint="default"/>
      </w:rPr>
    </w:lvl>
    <w:lvl w:ilvl="1" w:tplc="DAE65EE8" w:tentative="1">
      <w:start w:val="1"/>
      <w:numFmt w:val="bullet"/>
      <w:lvlText w:val=""/>
      <w:lvlJc w:val="left"/>
      <w:pPr>
        <w:tabs>
          <w:tab w:val="num" w:pos="1440"/>
        </w:tabs>
        <w:ind w:left="1440" w:hanging="360"/>
      </w:pPr>
      <w:rPr>
        <w:rFonts w:ascii="Wingdings 2" w:hAnsi="Wingdings 2" w:hint="default"/>
      </w:rPr>
    </w:lvl>
    <w:lvl w:ilvl="2" w:tplc="6D5C019C" w:tentative="1">
      <w:start w:val="1"/>
      <w:numFmt w:val="bullet"/>
      <w:lvlText w:val=""/>
      <w:lvlJc w:val="left"/>
      <w:pPr>
        <w:tabs>
          <w:tab w:val="num" w:pos="2160"/>
        </w:tabs>
        <w:ind w:left="2160" w:hanging="360"/>
      </w:pPr>
      <w:rPr>
        <w:rFonts w:ascii="Wingdings 2" w:hAnsi="Wingdings 2" w:hint="default"/>
      </w:rPr>
    </w:lvl>
    <w:lvl w:ilvl="3" w:tplc="F512773A" w:tentative="1">
      <w:start w:val="1"/>
      <w:numFmt w:val="bullet"/>
      <w:lvlText w:val=""/>
      <w:lvlJc w:val="left"/>
      <w:pPr>
        <w:tabs>
          <w:tab w:val="num" w:pos="2880"/>
        </w:tabs>
        <w:ind w:left="2880" w:hanging="360"/>
      </w:pPr>
      <w:rPr>
        <w:rFonts w:ascii="Wingdings 2" w:hAnsi="Wingdings 2" w:hint="default"/>
      </w:rPr>
    </w:lvl>
    <w:lvl w:ilvl="4" w:tplc="55004AFE" w:tentative="1">
      <w:start w:val="1"/>
      <w:numFmt w:val="bullet"/>
      <w:lvlText w:val=""/>
      <w:lvlJc w:val="left"/>
      <w:pPr>
        <w:tabs>
          <w:tab w:val="num" w:pos="3600"/>
        </w:tabs>
        <w:ind w:left="3600" w:hanging="360"/>
      </w:pPr>
      <w:rPr>
        <w:rFonts w:ascii="Wingdings 2" w:hAnsi="Wingdings 2" w:hint="default"/>
      </w:rPr>
    </w:lvl>
    <w:lvl w:ilvl="5" w:tplc="44C23910" w:tentative="1">
      <w:start w:val="1"/>
      <w:numFmt w:val="bullet"/>
      <w:lvlText w:val=""/>
      <w:lvlJc w:val="left"/>
      <w:pPr>
        <w:tabs>
          <w:tab w:val="num" w:pos="4320"/>
        </w:tabs>
        <w:ind w:left="4320" w:hanging="360"/>
      </w:pPr>
      <w:rPr>
        <w:rFonts w:ascii="Wingdings 2" w:hAnsi="Wingdings 2" w:hint="default"/>
      </w:rPr>
    </w:lvl>
    <w:lvl w:ilvl="6" w:tplc="8778A4A0" w:tentative="1">
      <w:start w:val="1"/>
      <w:numFmt w:val="bullet"/>
      <w:lvlText w:val=""/>
      <w:lvlJc w:val="left"/>
      <w:pPr>
        <w:tabs>
          <w:tab w:val="num" w:pos="5040"/>
        </w:tabs>
        <w:ind w:left="5040" w:hanging="360"/>
      </w:pPr>
      <w:rPr>
        <w:rFonts w:ascii="Wingdings 2" w:hAnsi="Wingdings 2" w:hint="default"/>
      </w:rPr>
    </w:lvl>
    <w:lvl w:ilvl="7" w:tplc="2F9842B6" w:tentative="1">
      <w:start w:val="1"/>
      <w:numFmt w:val="bullet"/>
      <w:lvlText w:val=""/>
      <w:lvlJc w:val="left"/>
      <w:pPr>
        <w:tabs>
          <w:tab w:val="num" w:pos="5760"/>
        </w:tabs>
        <w:ind w:left="5760" w:hanging="360"/>
      </w:pPr>
      <w:rPr>
        <w:rFonts w:ascii="Wingdings 2" w:hAnsi="Wingdings 2" w:hint="default"/>
      </w:rPr>
    </w:lvl>
    <w:lvl w:ilvl="8" w:tplc="A636E78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EF37A1"/>
    <w:multiLevelType w:val="hybridMultilevel"/>
    <w:tmpl w:val="CED8A94E"/>
    <w:lvl w:ilvl="0" w:tplc="9F8688D2">
      <w:start w:val="1"/>
      <w:numFmt w:val="bullet"/>
      <w:lvlText w:val=""/>
      <w:lvlJc w:val="left"/>
      <w:pPr>
        <w:tabs>
          <w:tab w:val="num" w:pos="720"/>
        </w:tabs>
        <w:ind w:left="720" w:hanging="360"/>
      </w:pPr>
      <w:rPr>
        <w:rFonts w:ascii="Wingdings 2" w:hAnsi="Wingdings 2" w:hint="default"/>
      </w:rPr>
    </w:lvl>
    <w:lvl w:ilvl="1" w:tplc="4CA850FA" w:tentative="1">
      <w:start w:val="1"/>
      <w:numFmt w:val="bullet"/>
      <w:lvlText w:val=""/>
      <w:lvlJc w:val="left"/>
      <w:pPr>
        <w:tabs>
          <w:tab w:val="num" w:pos="1440"/>
        </w:tabs>
        <w:ind w:left="1440" w:hanging="360"/>
      </w:pPr>
      <w:rPr>
        <w:rFonts w:ascii="Wingdings 2" w:hAnsi="Wingdings 2" w:hint="default"/>
      </w:rPr>
    </w:lvl>
    <w:lvl w:ilvl="2" w:tplc="E3E8D7B6" w:tentative="1">
      <w:start w:val="1"/>
      <w:numFmt w:val="bullet"/>
      <w:lvlText w:val=""/>
      <w:lvlJc w:val="left"/>
      <w:pPr>
        <w:tabs>
          <w:tab w:val="num" w:pos="2160"/>
        </w:tabs>
        <w:ind w:left="2160" w:hanging="360"/>
      </w:pPr>
      <w:rPr>
        <w:rFonts w:ascii="Wingdings 2" w:hAnsi="Wingdings 2" w:hint="default"/>
      </w:rPr>
    </w:lvl>
    <w:lvl w:ilvl="3" w:tplc="D7FC5D16" w:tentative="1">
      <w:start w:val="1"/>
      <w:numFmt w:val="bullet"/>
      <w:lvlText w:val=""/>
      <w:lvlJc w:val="left"/>
      <w:pPr>
        <w:tabs>
          <w:tab w:val="num" w:pos="2880"/>
        </w:tabs>
        <w:ind w:left="2880" w:hanging="360"/>
      </w:pPr>
      <w:rPr>
        <w:rFonts w:ascii="Wingdings 2" w:hAnsi="Wingdings 2" w:hint="default"/>
      </w:rPr>
    </w:lvl>
    <w:lvl w:ilvl="4" w:tplc="701A0CEA" w:tentative="1">
      <w:start w:val="1"/>
      <w:numFmt w:val="bullet"/>
      <w:lvlText w:val=""/>
      <w:lvlJc w:val="left"/>
      <w:pPr>
        <w:tabs>
          <w:tab w:val="num" w:pos="3600"/>
        </w:tabs>
        <w:ind w:left="3600" w:hanging="360"/>
      </w:pPr>
      <w:rPr>
        <w:rFonts w:ascii="Wingdings 2" w:hAnsi="Wingdings 2" w:hint="default"/>
      </w:rPr>
    </w:lvl>
    <w:lvl w:ilvl="5" w:tplc="AAF8A166" w:tentative="1">
      <w:start w:val="1"/>
      <w:numFmt w:val="bullet"/>
      <w:lvlText w:val=""/>
      <w:lvlJc w:val="left"/>
      <w:pPr>
        <w:tabs>
          <w:tab w:val="num" w:pos="4320"/>
        </w:tabs>
        <w:ind w:left="4320" w:hanging="360"/>
      </w:pPr>
      <w:rPr>
        <w:rFonts w:ascii="Wingdings 2" w:hAnsi="Wingdings 2" w:hint="default"/>
      </w:rPr>
    </w:lvl>
    <w:lvl w:ilvl="6" w:tplc="5462845A" w:tentative="1">
      <w:start w:val="1"/>
      <w:numFmt w:val="bullet"/>
      <w:lvlText w:val=""/>
      <w:lvlJc w:val="left"/>
      <w:pPr>
        <w:tabs>
          <w:tab w:val="num" w:pos="5040"/>
        </w:tabs>
        <w:ind w:left="5040" w:hanging="360"/>
      </w:pPr>
      <w:rPr>
        <w:rFonts w:ascii="Wingdings 2" w:hAnsi="Wingdings 2" w:hint="default"/>
      </w:rPr>
    </w:lvl>
    <w:lvl w:ilvl="7" w:tplc="E7DCAB18" w:tentative="1">
      <w:start w:val="1"/>
      <w:numFmt w:val="bullet"/>
      <w:lvlText w:val=""/>
      <w:lvlJc w:val="left"/>
      <w:pPr>
        <w:tabs>
          <w:tab w:val="num" w:pos="5760"/>
        </w:tabs>
        <w:ind w:left="5760" w:hanging="360"/>
      </w:pPr>
      <w:rPr>
        <w:rFonts w:ascii="Wingdings 2" w:hAnsi="Wingdings 2" w:hint="default"/>
      </w:rPr>
    </w:lvl>
    <w:lvl w:ilvl="8" w:tplc="5FF6E216"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460E87"/>
    <w:multiLevelType w:val="hybridMultilevel"/>
    <w:tmpl w:val="01EC3836"/>
    <w:lvl w:ilvl="0" w:tplc="E8164AB8">
      <w:start w:val="1"/>
      <w:numFmt w:val="bullet"/>
      <w:lvlText w:val=""/>
      <w:lvlJc w:val="left"/>
      <w:pPr>
        <w:tabs>
          <w:tab w:val="num" w:pos="720"/>
        </w:tabs>
        <w:ind w:left="720" w:hanging="360"/>
      </w:pPr>
      <w:rPr>
        <w:rFonts w:ascii="Wingdings 2" w:hAnsi="Wingdings 2" w:hint="default"/>
      </w:rPr>
    </w:lvl>
    <w:lvl w:ilvl="1" w:tplc="C2A60B96" w:tentative="1">
      <w:start w:val="1"/>
      <w:numFmt w:val="bullet"/>
      <w:lvlText w:val=""/>
      <w:lvlJc w:val="left"/>
      <w:pPr>
        <w:tabs>
          <w:tab w:val="num" w:pos="1440"/>
        </w:tabs>
        <w:ind w:left="1440" w:hanging="360"/>
      </w:pPr>
      <w:rPr>
        <w:rFonts w:ascii="Wingdings 2" w:hAnsi="Wingdings 2" w:hint="default"/>
      </w:rPr>
    </w:lvl>
    <w:lvl w:ilvl="2" w:tplc="BCCA2176" w:tentative="1">
      <w:start w:val="1"/>
      <w:numFmt w:val="bullet"/>
      <w:lvlText w:val=""/>
      <w:lvlJc w:val="left"/>
      <w:pPr>
        <w:tabs>
          <w:tab w:val="num" w:pos="2160"/>
        </w:tabs>
        <w:ind w:left="2160" w:hanging="360"/>
      </w:pPr>
      <w:rPr>
        <w:rFonts w:ascii="Wingdings 2" w:hAnsi="Wingdings 2" w:hint="default"/>
      </w:rPr>
    </w:lvl>
    <w:lvl w:ilvl="3" w:tplc="EC24C804" w:tentative="1">
      <w:start w:val="1"/>
      <w:numFmt w:val="bullet"/>
      <w:lvlText w:val=""/>
      <w:lvlJc w:val="left"/>
      <w:pPr>
        <w:tabs>
          <w:tab w:val="num" w:pos="2880"/>
        </w:tabs>
        <w:ind w:left="2880" w:hanging="360"/>
      </w:pPr>
      <w:rPr>
        <w:rFonts w:ascii="Wingdings 2" w:hAnsi="Wingdings 2" w:hint="default"/>
      </w:rPr>
    </w:lvl>
    <w:lvl w:ilvl="4" w:tplc="DD7A0C1A" w:tentative="1">
      <w:start w:val="1"/>
      <w:numFmt w:val="bullet"/>
      <w:lvlText w:val=""/>
      <w:lvlJc w:val="left"/>
      <w:pPr>
        <w:tabs>
          <w:tab w:val="num" w:pos="3600"/>
        </w:tabs>
        <w:ind w:left="3600" w:hanging="360"/>
      </w:pPr>
      <w:rPr>
        <w:rFonts w:ascii="Wingdings 2" w:hAnsi="Wingdings 2" w:hint="default"/>
      </w:rPr>
    </w:lvl>
    <w:lvl w:ilvl="5" w:tplc="AFC6AE78" w:tentative="1">
      <w:start w:val="1"/>
      <w:numFmt w:val="bullet"/>
      <w:lvlText w:val=""/>
      <w:lvlJc w:val="left"/>
      <w:pPr>
        <w:tabs>
          <w:tab w:val="num" w:pos="4320"/>
        </w:tabs>
        <w:ind w:left="4320" w:hanging="360"/>
      </w:pPr>
      <w:rPr>
        <w:rFonts w:ascii="Wingdings 2" w:hAnsi="Wingdings 2" w:hint="default"/>
      </w:rPr>
    </w:lvl>
    <w:lvl w:ilvl="6" w:tplc="A78E64CE" w:tentative="1">
      <w:start w:val="1"/>
      <w:numFmt w:val="bullet"/>
      <w:lvlText w:val=""/>
      <w:lvlJc w:val="left"/>
      <w:pPr>
        <w:tabs>
          <w:tab w:val="num" w:pos="5040"/>
        </w:tabs>
        <w:ind w:left="5040" w:hanging="360"/>
      </w:pPr>
      <w:rPr>
        <w:rFonts w:ascii="Wingdings 2" w:hAnsi="Wingdings 2" w:hint="default"/>
      </w:rPr>
    </w:lvl>
    <w:lvl w:ilvl="7" w:tplc="C6E48F64" w:tentative="1">
      <w:start w:val="1"/>
      <w:numFmt w:val="bullet"/>
      <w:lvlText w:val=""/>
      <w:lvlJc w:val="left"/>
      <w:pPr>
        <w:tabs>
          <w:tab w:val="num" w:pos="5760"/>
        </w:tabs>
        <w:ind w:left="5760" w:hanging="360"/>
      </w:pPr>
      <w:rPr>
        <w:rFonts w:ascii="Wingdings 2" w:hAnsi="Wingdings 2" w:hint="default"/>
      </w:rPr>
    </w:lvl>
    <w:lvl w:ilvl="8" w:tplc="8C76F92C"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C80D51"/>
    <w:multiLevelType w:val="hybridMultilevel"/>
    <w:tmpl w:val="FEB02B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B96BA2"/>
    <w:multiLevelType w:val="hybridMultilevel"/>
    <w:tmpl w:val="F7FE9748"/>
    <w:lvl w:ilvl="0" w:tplc="28AA828E">
      <w:start w:val="1"/>
      <w:numFmt w:val="bullet"/>
      <w:lvlText w:val=""/>
      <w:lvlJc w:val="left"/>
      <w:pPr>
        <w:tabs>
          <w:tab w:val="num" w:pos="720"/>
        </w:tabs>
        <w:ind w:left="720" w:hanging="360"/>
      </w:pPr>
      <w:rPr>
        <w:rFonts w:ascii="Wingdings 2" w:hAnsi="Wingdings 2" w:hint="default"/>
      </w:rPr>
    </w:lvl>
    <w:lvl w:ilvl="1" w:tplc="F2D2183A" w:tentative="1">
      <w:start w:val="1"/>
      <w:numFmt w:val="bullet"/>
      <w:lvlText w:val=""/>
      <w:lvlJc w:val="left"/>
      <w:pPr>
        <w:tabs>
          <w:tab w:val="num" w:pos="1440"/>
        </w:tabs>
        <w:ind w:left="1440" w:hanging="360"/>
      </w:pPr>
      <w:rPr>
        <w:rFonts w:ascii="Wingdings 2" w:hAnsi="Wingdings 2" w:hint="default"/>
      </w:rPr>
    </w:lvl>
    <w:lvl w:ilvl="2" w:tplc="C00CFED2" w:tentative="1">
      <w:start w:val="1"/>
      <w:numFmt w:val="bullet"/>
      <w:lvlText w:val=""/>
      <w:lvlJc w:val="left"/>
      <w:pPr>
        <w:tabs>
          <w:tab w:val="num" w:pos="2160"/>
        </w:tabs>
        <w:ind w:left="2160" w:hanging="360"/>
      </w:pPr>
      <w:rPr>
        <w:rFonts w:ascii="Wingdings 2" w:hAnsi="Wingdings 2" w:hint="default"/>
      </w:rPr>
    </w:lvl>
    <w:lvl w:ilvl="3" w:tplc="7BEC74A2" w:tentative="1">
      <w:start w:val="1"/>
      <w:numFmt w:val="bullet"/>
      <w:lvlText w:val=""/>
      <w:lvlJc w:val="left"/>
      <w:pPr>
        <w:tabs>
          <w:tab w:val="num" w:pos="2880"/>
        </w:tabs>
        <w:ind w:left="2880" w:hanging="360"/>
      </w:pPr>
      <w:rPr>
        <w:rFonts w:ascii="Wingdings 2" w:hAnsi="Wingdings 2" w:hint="default"/>
      </w:rPr>
    </w:lvl>
    <w:lvl w:ilvl="4" w:tplc="FB2C8A2C" w:tentative="1">
      <w:start w:val="1"/>
      <w:numFmt w:val="bullet"/>
      <w:lvlText w:val=""/>
      <w:lvlJc w:val="left"/>
      <w:pPr>
        <w:tabs>
          <w:tab w:val="num" w:pos="3600"/>
        </w:tabs>
        <w:ind w:left="3600" w:hanging="360"/>
      </w:pPr>
      <w:rPr>
        <w:rFonts w:ascii="Wingdings 2" w:hAnsi="Wingdings 2" w:hint="default"/>
      </w:rPr>
    </w:lvl>
    <w:lvl w:ilvl="5" w:tplc="3E581A5A" w:tentative="1">
      <w:start w:val="1"/>
      <w:numFmt w:val="bullet"/>
      <w:lvlText w:val=""/>
      <w:lvlJc w:val="left"/>
      <w:pPr>
        <w:tabs>
          <w:tab w:val="num" w:pos="4320"/>
        </w:tabs>
        <w:ind w:left="4320" w:hanging="360"/>
      </w:pPr>
      <w:rPr>
        <w:rFonts w:ascii="Wingdings 2" w:hAnsi="Wingdings 2" w:hint="default"/>
      </w:rPr>
    </w:lvl>
    <w:lvl w:ilvl="6" w:tplc="3A042B86" w:tentative="1">
      <w:start w:val="1"/>
      <w:numFmt w:val="bullet"/>
      <w:lvlText w:val=""/>
      <w:lvlJc w:val="left"/>
      <w:pPr>
        <w:tabs>
          <w:tab w:val="num" w:pos="5040"/>
        </w:tabs>
        <w:ind w:left="5040" w:hanging="360"/>
      </w:pPr>
      <w:rPr>
        <w:rFonts w:ascii="Wingdings 2" w:hAnsi="Wingdings 2" w:hint="default"/>
      </w:rPr>
    </w:lvl>
    <w:lvl w:ilvl="7" w:tplc="2E7CB846" w:tentative="1">
      <w:start w:val="1"/>
      <w:numFmt w:val="bullet"/>
      <w:lvlText w:val=""/>
      <w:lvlJc w:val="left"/>
      <w:pPr>
        <w:tabs>
          <w:tab w:val="num" w:pos="5760"/>
        </w:tabs>
        <w:ind w:left="5760" w:hanging="360"/>
      </w:pPr>
      <w:rPr>
        <w:rFonts w:ascii="Wingdings 2" w:hAnsi="Wingdings 2" w:hint="default"/>
      </w:rPr>
    </w:lvl>
    <w:lvl w:ilvl="8" w:tplc="FC4A5210"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2"/>
  </w:num>
  <w:num w:numId="29">
    <w:abstractNumId w:val="34"/>
  </w:num>
  <w:num w:numId="30">
    <w:abstractNumId w:val="40"/>
  </w:num>
  <w:num w:numId="31">
    <w:abstractNumId w:val="31"/>
  </w:num>
  <w:num w:numId="32">
    <w:abstractNumId w:val="3"/>
  </w:num>
  <w:num w:numId="33">
    <w:abstractNumId w:val="29"/>
  </w:num>
  <w:num w:numId="34">
    <w:abstractNumId w:val="24"/>
  </w:num>
  <w:num w:numId="35">
    <w:abstractNumId w:val="17"/>
  </w:num>
  <w:num w:numId="36">
    <w:abstractNumId w:val="14"/>
  </w:num>
  <w:num w:numId="37">
    <w:abstractNumId w:val="9"/>
  </w:num>
  <w:num w:numId="38">
    <w:abstractNumId w:val="39"/>
  </w:num>
  <w:num w:numId="39">
    <w:abstractNumId w:val="19"/>
  </w:num>
  <w:num w:numId="40">
    <w:abstractNumId w:val="15"/>
  </w:num>
  <w:num w:numId="41">
    <w:abstractNumId w:val="25"/>
  </w:num>
  <w:num w:numId="42">
    <w:abstractNumId w:val="30"/>
  </w:num>
  <w:num w:numId="43">
    <w:abstractNumId w:val="13"/>
  </w:num>
  <w:num w:numId="44">
    <w:abstractNumId w:val="26"/>
  </w:num>
  <w:num w:numId="45">
    <w:abstractNumId w:val="2"/>
  </w:num>
  <w:num w:numId="46">
    <w:abstractNumId w:val="1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085"/>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0B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2E0"/>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3BC"/>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70E"/>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3A9"/>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8124664">
      <w:bodyDiv w:val="1"/>
      <w:marLeft w:val="0"/>
      <w:marRight w:val="0"/>
      <w:marTop w:val="0"/>
      <w:marBottom w:val="0"/>
      <w:divBdr>
        <w:top w:val="none" w:sz="0" w:space="0" w:color="auto"/>
        <w:left w:val="none" w:sz="0" w:space="0" w:color="auto"/>
        <w:bottom w:val="none" w:sz="0" w:space="0" w:color="auto"/>
        <w:right w:val="none" w:sz="0" w:space="0" w:color="auto"/>
      </w:divBdr>
      <w:divsChild>
        <w:div w:id="1857380078">
          <w:marLeft w:val="576"/>
          <w:marRight w:val="0"/>
          <w:marTop w:val="120"/>
          <w:marBottom w:val="0"/>
          <w:divBdr>
            <w:top w:val="none" w:sz="0" w:space="0" w:color="auto"/>
            <w:left w:val="none" w:sz="0" w:space="0" w:color="auto"/>
            <w:bottom w:val="none" w:sz="0" w:space="0" w:color="auto"/>
            <w:right w:val="none" w:sz="0" w:space="0" w:color="auto"/>
          </w:divBdr>
        </w:div>
        <w:div w:id="116991482">
          <w:marLeft w:val="576"/>
          <w:marRight w:val="0"/>
          <w:marTop w:val="120"/>
          <w:marBottom w:val="0"/>
          <w:divBdr>
            <w:top w:val="none" w:sz="0" w:space="0" w:color="auto"/>
            <w:left w:val="none" w:sz="0" w:space="0" w:color="auto"/>
            <w:bottom w:val="none" w:sz="0" w:space="0" w:color="auto"/>
            <w:right w:val="none" w:sz="0" w:space="0" w:color="auto"/>
          </w:divBdr>
        </w:div>
        <w:div w:id="1748260512">
          <w:marLeft w:val="576"/>
          <w:marRight w:val="0"/>
          <w:marTop w:val="120"/>
          <w:marBottom w:val="0"/>
          <w:divBdr>
            <w:top w:val="none" w:sz="0" w:space="0" w:color="auto"/>
            <w:left w:val="none" w:sz="0" w:space="0" w:color="auto"/>
            <w:bottom w:val="none" w:sz="0" w:space="0" w:color="auto"/>
            <w:right w:val="none" w:sz="0" w:space="0" w:color="auto"/>
          </w:divBdr>
        </w:div>
        <w:div w:id="133267954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2451806">
      <w:bodyDiv w:val="1"/>
      <w:marLeft w:val="0"/>
      <w:marRight w:val="0"/>
      <w:marTop w:val="0"/>
      <w:marBottom w:val="0"/>
      <w:divBdr>
        <w:top w:val="none" w:sz="0" w:space="0" w:color="auto"/>
        <w:left w:val="none" w:sz="0" w:space="0" w:color="auto"/>
        <w:bottom w:val="none" w:sz="0" w:space="0" w:color="auto"/>
        <w:right w:val="none" w:sz="0" w:space="0" w:color="auto"/>
      </w:divBdr>
      <w:divsChild>
        <w:div w:id="1638875949">
          <w:marLeft w:val="576"/>
          <w:marRight w:val="0"/>
          <w:marTop w:val="120"/>
          <w:marBottom w:val="0"/>
          <w:divBdr>
            <w:top w:val="none" w:sz="0" w:space="0" w:color="auto"/>
            <w:left w:val="none" w:sz="0" w:space="0" w:color="auto"/>
            <w:bottom w:val="none" w:sz="0" w:space="0" w:color="auto"/>
            <w:right w:val="none" w:sz="0" w:space="0" w:color="auto"/>
          </w:divBdr>
        </w:div>
        <w:div w:id="838160542">
          <w:marLeft w:val="576"/>
          <w:marRight w:val="0"/>
          <w:marTop w:val="120"/>
          <w:marBottom w:val="0"/>
          <w:divBdr>
            <w:top w:val="none" w:sz="0" w:space="0" w:color="auto"/>
            <w:left w:val="none" w:sz="0" w:space="0" w:color="auto"/>
            <w:bottom w:val="none" w:sz="0" w:space="0" w:color="auto"/>
            <w:right w:val="none" w:sz="0" w:space="0" w:color="auto"/>
          </w:divBdr>
        </w:div>
        <w:div w:id="1700009609">
          <w:marLeft w:val="576"/>
          <w:marRight w:val="0"/>
          <w:marTop w:val="120"/>
          <w:marBottom w:val="0"/>
          <w:divBdr>
            <w:top w:val="none" w:sz="0" w:space="0" w:color="auto"/>
            <w:left w:val="none" w:sz="0" w:space="0" w:color="auto"/>
            <w:bottom w:val="none" w:sz="0" w:space="0" w:color="auto"/>
            <w:right w:val="none" w:sz="0" w:space="0" w:color="auto"/>
          </w:divBdr>
        </w:div>
        <w:div w:id="578440342">
          <w:marLeft w:val="576"/>
          <w:marRight w:val="0"/>
          <w:marTop w:val="120"/>
          <w:marBottom w:val="0"/>
          <w:divBdr>
            <w:top w:val="none" w:sz="0" w:space="0" w:color="auto"/>
            <w:left w:val="none" w:sz="0" w:space="0" w:color="auto"/>
            <w:bottom w:val="none" w:sz="0" w:space="0" w:color="auto"/>
            <w:right w:val="none" w:sz="0" w:space="0" w:color="auto"/>
          </w:divBdr>
        </w:div>
        <w:div w:id="98003631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552075">
      <w:bodyDiv w:val="1"/>
      <w:marLeft w:val="0"/>
      <w:marRight w:val="0"/>
      <w:marTop w:val="0"/>
      <w:marBottom w:val="0"/>
      <w:divBdr>
        <w:top w:val="none" w:sz="0" w:space="0" w:color="auto"/>
        <w:left w:val="none" w:sz="0" w:space="0" w:color="auto"/>
        <w:bottom w:val="none" w:sz="0" w:space="0" w:color="auto"/>
        <w:right w:val="none" w:sz="0" w:space="0" w:color="auto"/>
      </w:divBdr>
      <w:divsChild>
        <w:div w:id="1401059495">
          <w:marLeft w:val="576"/>
          <w:marRight w:val="0"/>
          <w:marTop w:val="120"/>
          <w:marBottom w:val="0"/>
          <w:divBdr>
            <w:top w:val="none" w:sz="0" w:space="0" w:color="auto"/>
            <w:left w:val="none" w:sz="0" w:space="0" w:color="auto"/>
            <w:bottom w:val="none" w:sz="0" w:space="0" w:color="auto"/>
            <w:right w:val="none" w:sz="0" w:space="0" w:color="auto"/>
          </w:divBdr>
        </w:div>
        <w:div w:id="1111584377">
          <w:marLeft w:val="576"/>
          <w:marRight w:val="0"/>
          <w:marTop w:val="120"/>
          <w:marBottom w:val="0"/>
          <w:divBdr>
            <w:top w:val="none" w:sz="0" w:space="0" w:color="auto"/>
            <w:left w:val="none" w:sz="0" w:space="0" w:color="auto"/>
            <w:bottom w:val="none" w:sz="0" w:space="0" w:color="auto"/>
            <w:right w:val="none" w:sz="0" w:space="0" w:color="auto"/>
          </w:divBdr>
        </w:div>
        <w:div w:id="1378432042">
          <w:marLeft w:val="576"/>
          <w:marRight w:val="0"/>
          <w:marTop w:val="120"/>
          <w:marBottom w:val="0"/>
          <w:divBdr>
            <w:top w:val="none" w:sz="0" w:space="0" w:color="auto"/>
            <w:left w:val="none" w:sz="0" w:space="0" w:color="auto"/>
            <w:bottom w:val="none" w:sz="0" w:space="0" w:color="auto"/>
            <w:right w:val="none" w:sz="0" w:space="0" w:color="auto"/>
          </w:divBdr>
        </w:div>
        <w:div w:id="110234234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3791665">
      <w:bodyDiv w:val="1"/>
      <w:marLeft w:val="0"/>
      <w:marRight w:val="0"/>
      <w:marTop w:val="0"/>
      <w:marBottom w:val="0"/>
      <w:divBdr>
        <w:top w:val="none" w:sz="0" w:space="0" w:color="auto"/>
        <w:left w:val="none" w:sz="0" w:space="0" w:color="auto"/>
        <w:bottom w:val="none" w:sz="0" w:space="0" w:color="auto"/>
        <w:right w:val="none" w:sz="0" w:space="0" w:color="auto"/>
      </w:divBdr>
      <w:divsChild>
        <w:div w:id="357313000">
          <w:marLeft w:val="0"/>
          <w:marRight w:val="0"/>
          <w:marTop w:val="0"/>
          <w:marBottom w:val="0"/>
          <w:divBdr>
            <w:top w:val="none" w:sz="0" w:space="0" w:color="auto"/>
            <w:left w:val="none" w:sz="0" w:space="0" w:color="auto"/>
            <w:bottom w:val="none" w:sz="0" w:space="0" w:color="auto"/>
            <w:right w:val="none" w:sz="0" w:space="0" w:color="auto"/>
          </w:divBdr>
          <w:divsChild>
            <w:div w:id="1106652754">
              <w:marLeft w:val="0"/>
              <w:marRight w:val="0"/>
              <w:marTop w:val="0"/>
              <w:marBottom w:val="0"/>
              <w:divBdr>
                <w:top w:val="none" w:sz="0" w:space="0" w:color="auto"/>
                <w:left w:val="none" w:sz="0" w:space="0" w:color="auto"/>
                <w:bottom w:val="none" w:sz="0" w:space="0" w:color="auto"/>
                <w:right w:val="none" w:sz="0" w:space="0" w:color="auto"/>
              </w:divBdr>
              <w:divsChild>
                <w:div w:id="177737264">
                  <w:marLeft w:val="0"/>
                  <w:marRight w:val="0"/>
                  <w:marTop w:val="0"/>
                  <w:marBottom w:val="0"/>
                  <w:divBdr>
                    <w:top w:val="none" w:sz="0" w:space="0" w:color="auto"/>
                    <w:left w:val="none" w:sz="0" w:space="0" w:color="auto"/>
                    <w:bottom w:val="none" w:sz="0" w:space="0" w:color="auto"/>
                    <w:right w:val="none" w:sz="0" w:space="0" w:color="auto"/>
                  </w:divBdr>
                  <w:divsChild>
                    <w:div w:id="183009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1085254">
      <w:bodyDiv w:val="1"/>
      <w:marLeft w:val="0"/>
      <w:marRight w:val="0"/>
      <w:marTop w:val="0"/>
      <w:marBottom w:val="0"/>
      <w:divBdr>
        <w:top w:val="none" w:sz="0" w:space="0" w:color="auto"/>
        <w:left w:val="none" w:sz="0" w:space="0" w:color="auto"/>
        <w:bottom w:val="none" w:sz="0" w:space="0" w:color="auto"/>
        <w:right w:val="none" w:sz="0" w:space="0" w:color="auto"/>
      </w:divBdr>
      <w:divsChild>
        <w:div w:id="471287436">
          <w:marLeft w:val="576"/>
          <w:marRight w:val="0"/>
          <w:marTop w:val="120"/>
          <w:marBottom w:val="0"/>
          <w:divBdr>
            <w:top w:val="none" w:sz="0" w:space="0" w:color="auto"/>
            <w:left w:val="none" w:sz="0" w:space="0" w:color="auto"/>
            <w:bottom w:val="none" w:sz="0" w:space="0" w:color="auto"/>
            <w:right w:val="none" w:sz="0" w:space="0" w:color="auto"/>
          </w:divBdr>
        </w:div>
        <w:div w:id="2037268291">
          <w:marLeft w:val="576"/>
          <w:marRight w:val="0"/>
          <w:marTop w:val="120"/>
          <w:marBottom w:val="0"/>
          <w:divBdr>
            <w:top w:val="none" w:sz="0" w:space="0" w:color="auto"/>
            <w:left w:val="none" w:sz="0" w:space="0" w:color="auto"/>
            <w:bottom w:val="none" w:sz="0" w:space="0" w:color="auto"/>
            <w:right w:val="none" w:sz="0" w:space="0" w:color="auto"/>
          </w:divBdr>
        </w:div>
        <w:div w:id="319383504">
          <w:marLeft w:val="576"/>
          <w:marRight w:val="0"/>
          <w:marTop w:val="120"/>
          <w:marBottom w:val="0"/>
          <w:divBdr>
            <w:top w:val="none" w:sz="0" w:space="0" w:color="auto"/>
            <w:left w:val="none" w:sz="0" w:space="0" w:color="auto"/>
            <w:bottom w:val="none" w:sz="0" w:space="0" w:color="auto"/>
            <w:right w:val="none" w:sz="0" w:space="0" w:color="auto"/>
          </w:divBdr>
        </w:div>
        <w:div w:id="1130636849">
          <w:marLeft w:val="576"/>
          <w:marRight w:val="0"/>
          <w:marTop w:val="120"/>
          <w:marBottom w:val="0"/>
          <w:divBdr>
            <w:top w:val="none" w:sz="0" w:space="0" w:color="auto"/>
            <w:left w:val="none" w:sz="0" w:space="0" w:color="auto"/>
            <w:bottom w:val="none" w:sz="0" w:space="0" w:color="auto"/>
            <w:right w:val="none" w:sz="0" w:space="0" w:color="auto"/>
          </w:divBdr>
        </w:div>
        <w:div w:id="82878487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842436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8203704">
      <w:bodyDiv w:val="1"/>
      <w:marLeft w:val="0"/>
      <w:marRight w:val="0"/>
      <w:marTop w:val="0"/>
      <w:marBottom w:val="0"/>
      <w:divBdr>
        <w:top w:val="none" w:sz="0" w:space="0" w:color="auto"/>
        <w:left w:val="none" w:sz="0" w:space="0" w:color="auto"/>
        <w:bottom w:val="none" w:sz="0" w:space="0" w:color="auto"/>
        <w:right w:val="none" w:sz="0" w:space="0" w:color="auto"/>
      </w:divBdr>
      <w:divsChild>
        <w:div w:id="2121754160">
          <w:marLeft w:val="576"/>
          <w:marRight w:val="0"/>
          <w:marTop w:val="120"/>
          <w:marBottom w:val="0"/>
          <w:divBdr>
            <w:top w:val="none" w:sz="0" w:space="0" w:color="auto"/>
            <w:left w:val="none" w:sz="0" w:space="0" w:color="auto"/>
            <w:bottom w:val="none" w:sz="0" w:space="0" w:color="auto"/>
            <w:right w:val="none" w:sz="0" w:space="0" w:color="auto"/>
          </w:divBdr>
        </w:div>
        <w:div w:id="1695183684">
          <w:marLeft w:val="576"/>
          <w:marRight w:val="0"/>
          <w:marTop w:val="120"/>
          <w:marBottom w:val="0"/>
          <w:divBdr>
            <w:top w:val="none" w:sz="0" w:space="0" w:color="auto"/>
            <w:left w:val="none" w:sz="0" w:space="0" w:color="auto"/>
            <w:bottom w:val="none" w:sz="0" w:space="0" w:color="auto"/>
            <w:right w:val="none" w:sz="0" w:space="0" w:color="auto"/>
          </w:divBdr>
        </w:div>
        <w:div w:id="262305328">
          <w:marLeft w:val="576"/>
          <w:marRight w:val="0"/>
          <w:marTop w:val="120"/>
          <w:marBottom w:val="0"/>
          <w:divBdr>
            <w:top w:val="none" w:sz="0" w:space="0" w:color="auto"/>
            <w:left w:val="none" w:sz="0" w:space="0" w:color="auto"/>
            <w:bottom w:val="none" w:sz="0" w:space="0" w:color="auto"/>
            <w:right w:val="none" w:sz="0" w:space="0" w:color="auto"/>
          </w:divBdr>
        </w:div>
        <w:div w:id="671567112">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654191">
      <w:bodyDiv w:val="1"/>
      <w:marLeft w:val="0"/>
      <w:marRight w:val="0"/>
      <w:marTop w:val="0"/>
      <w:marBottom w:val="0"/>
      <w:divBdr>
        <w:top w:val="none" w:sz="0" w:space="0" w:color="auto"/>
        <w:left w:val="none" w:sz="0" w:space="0" w:color="auto"/>
        <w:bottom w:val="none" w:sz="0" w:space="0" w:color="auto"/>
        <w:right w:val="none" w:sz="0" w:space="0" w:color="auto"/>
      </w:divBdr>
      <w:divsChild>
        <w:div w:id="2030254258">
          <w:marLeft w:val="576"/>
          <w:marRight w:val="0"/>
          <w:marTop w:val="120"/>
          <w:marBottom w:val="0"/>
          <w:divBdr>
            <w:top w:val="none" w:sz="0" w:space="0" w:color="auto"/>
            <w:left w:val="none" w:sz="0" w:space="0" w:color="auto"/>
            <w:bottom w:val="none" w:sz="0" w:space="0" w:color="auto"/>
            <w:right w:val="none" w:sz="0" w:space="0" w:color="auto"/>
          </w:divBdr>
        </w:div>
        <w:div w:id="359092017">
          <w:marLeft w:val="576"/>
          <w:marRight w:val="0"/>
          <w:marTop w:val="120"/>
          <w:marBottom w:val="0"/>
          <w:divBdr>
            <w:top w:val="none" w:sz="0" w:space="0" w:color="auto"/>
            <w:left w:val="none" w:sz="0" w:space="0" w:color="auto"/>
            <w:bottom w:val="none" w:sz="0" w:space="0" w:color="auto"/>
            <w:right w:val="none" w:sz="0" w:space="0" w:color="auto"/>
          </w:divBdr>
        </w:div>
        <w:div w:id="88167486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engineering/thermoelectr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14</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2021-05-31T12:47:00Z</dcterms:modified>
</cp:coreProperties>
</file>