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72447" w:rsidRDefault="00472447" w:rsidP="00472447">
      <w:pPr>
        <w:spacing w:line="360" w:lineRule="auto"/>
        <w:jc w:val="center"/>
        <w:rPr>
          <w:rFonts w:ascii="Times New Roman" w:hAnsi="Times New Roman" w:cs="Times New Roman"/>
          <w:b/>
          <w:sz w:val="48"/>
          <w:szCs w:val="48"/>
        </w:rPr>
      </w:pPr>
      <w:r w:rsidRPr="00472447">
        <w:rPr>
          <w:rFonts w:ascii="Times New Roman" w:hAnsi="Times New Roman" w:cs="Times New Roman"/>
          <w:b/>
          <w:sz w:val="48"/>
          <w:szCs w:val="48"/>
        </w:rPr>
        <w:t>Transmission Range Extension of PT-symmetry-based Wireless Power Transfer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72447" w:rsidRDefault="0047244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72447" w:rsidRDefault="00472447" w:rsidP="0047244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472447">
        <w:rPr>
          <w:rFonts w:ascii="Times New Roman" w:eastAsia="Times New Roman" w:hAnsi="Times New Roman" w:cs="Times New Roman"/>
          <w:color w:val="333333"/>
          <w:sz w:val="32"/>
          <w:szCs w:val="32"/>
          <w:lang w:val="en-IN" w:eastAsia="en-IN" w:bidi="ta-IN"/>
        </w:rPr>
        <w:t>The wireless power transfer (WPT) system based on parity-time (PT) symmetry has been proved to be a promising WPT system due to its characteristics of constant efficiency and output power. However, the PT-symmetric range is limited, and it is necessary to widen the PT-symmetric region to extend the distance of constant and efficient transmission. The novel PT-symmetry-based WPT system with an inductor added on the receiving circuit is proposed in this paper. Firstly, the model of the proposed system is established by utilizing the coupled mode theory (CMT), and the performance differences between the proposed system and the original PT-symmetric system are studied, and it is found that the critical coupling coefficient of the proposed system is smaller than that of the original PT-symmetric system. Secondly, to improve the efficiency of the proposed structure, the method of increasing the inductance of the transmitting coil is also put forward. Finally, the experimental results are basically consistent with the theoretical results, and the validity of the proposed approach is verified</w:t>
      </w:r>
    </w:p>
    <w:p w:rsidR="00472447" w:rsidRDefault="00472447" w:rsidP="0047244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72447" w:rsidRDefault="00472447" w:rsidP="0047244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72447" w:rsidRDefault="00472447" w:rsidP="0047244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72447" w:rsidRDefault="00472447" w:rsidP="0047244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72447" w:rsidRDefault="00472447" w:rsidP="0047244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72447" w:rsidRDefault="00472447" w:rsidP="0047244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p>
    <w:p w:rsidR="00491919" w:rsidRPr="00472447" w:rsidRDefault="001C4FD2" w:rsidP="00472447">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350B1" w:rsidRDefault="002E6158" w:rsidP="00C350B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350B1">
        <w:rPr>
          <w:rFonts w:ascii="Times New Roman" w:hAnsi="Times New Roman" w:cs="Times New Roman"/>
          <w:sz w:val="32"/>
          <w:szCs w:val="32"/>
          <w:lang w:val="en-IN"/>
        </w:rPr>
        <w:t xml:space="preserve">An isolated state (5.62 MHz) exists in the bandgap of the </w:t>
      </w:r>
      <w:r w:rsidRPr="00C350B1">
        <w:rPr>
          <w:rFonts w:ascii="Times New Roman" w:hAnsi="Times New Roman" w:cs="Times New Roman"/>
          <w:sz w:val="32"/>
          <w:szCs w:val="32"/>
          <w:lang w:val="en-IN"/>
        </w:rPr>
        <w:t>spectrum, which belongs to the TEM shown by red arrow.</w:t>
      </w:r>
    </w:p>
    <w:p w:rsidR="00000000" w:rsidRPr="00C350B1" w:rsidRDefault="002E6158" w:rsidP="00C350B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350B1">
        <w:rPr>
          <w:rFonts w:ascii="Times New Roman" w:hAnsi="Times New Roman" w:cs="Times New Roman"/>
          <w:sz w:val="32"/>
          <w:szCs w:val="32"/>
          <w:lang w:val="en-IN"/>
        </w:rPr>
        <w:t>Inspired by the long-range WPT with TEMs in this work, it is expected to use more complex topological structures to achieve energy transmission with more functions, such as the WPT devices whose direc</w:t>
      </w:r>
      <w:r w:rsidRPr="00C350B1">
        <w:rPr>
          <w:rFonts w:ascii="Times New Roman" w:hAnsi="Times New Roman" w:cs="Times New Roman"/>
          <w:sz w:val="32"/>
          <w:szCs w:val="32"/>
          <w:lang w:val="en-IN"/>
        </w:rPr>
        <w:t xml:space="preserve">tion can be selected flexibly in the quasiperiodic or trimer topological chains. </w:t>
      </w:r>
    </w:p>
    <w:p w:rsidR="00000000" w:rsidRPr="00C350B1" w:rsidRDefault="002E6158" w:rsidP="00C350B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350B1">
        <w:rPr>
          <w:rFonts w:ascii="Times New Roman" w:hAnsi="Times New Roman" w:cs="Times New Roman"/>
          <w:sz w:val="32"/>
          <w:szCs w:val="32"/>
          <w:lang w:val="en-IN"/>
        </w:rPr>
        <w:t>It can be clearly seen that two LED lamps with 0.5-W at both ends of the structure are lighted up with the aid of TEMs.</w:t>
      </w:r>
    </w:p>
    <w:p w:rsidR="00000000" w:rsidRPr="00C350B1" w:rsidRDefault="002E6158" w:rsidP="00C350B1">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350B1">
        <w:rPr>
          <w:rFonts w:ascii="Times New Roman" w:hAnsi="Times New Roman" w:cs="Times New Roman"/>
          <w:sz w:val="32"/>
          <w:szCs w:val="32"/>
          <w:lang w:val="en-IN"/>
        </w:rPr>
        <w:t>To intuitively show the TEM can be used for WPT, a p</w:t>
      </w:r>
      <w:r w:rsidRPr="00C350B1">
        <w:rPr>
          <w:rFonts w:ascii="Times New Roman" w:hAnsi="Times New Roman" w:cs="Times New Roman"/>
          <w:sz w:val="32"/>
          <w:szCs w:val="32"/>
          <w:lang w:val="en-IN"/>
        </w:rPr>
        <w:t>ower signal source is used to excite the TEM.</w:t>
      </w:r>
      <w:r w:rsidRPr="00C350B1">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350B1" w:rsidRDefault="002E6158" w:rsidP="00C350B1">
      <w:pPr>
        <w:numPr>
          <w:ilvl w:val="0"/>
          <w:numId w:val="45"/>
        </w:numPr>
        <w:spacing w:line="360" w:lineRule="auto"/>
        <w:jc w:val="both"/>
        <w:rPr>
          <w:rFonts w:ascii="Times New Roman" w:hAnsi="Times New Roman" w:cs="Times New Roman"/>
          <w:bCs/>
          <w:sz w:val="32"/>
          <w:szCs w:val="32"/>
          <w:lang w:val="en-IN"/>
        </w:rPr>
      </w:pPr>
      <w:r w:rsidRPr="00C350B1">
        <w:rPr>
          <w:rFonts w:ascii="Times New Roman" w:hAnsi="Times New Roman" w:cs="Times New Roman"/>
          <w:bCs/>
          <w:sz w:val="32"/>
          <w:szCs w:val="32"/>
          <w:lang w:val="en-IN"/>
        </w:rPr>
        <w:t>While the WPT technology has motivated considerable research and development in the past two decades, there are still several fundamental issues which need further investigation to maximize the potential of t</w:t>
      </w:r>
      <w:r w:rsidRPr="00C350B1">
        <w:rPr>
          <w:rFonts w:ascii="Times New Roman" w:hAnsi="Times New Roman" w:cs="Times New Roman"/>
          <w:bCs/>
          <w:sz w:val="32"/>
          <w:szCs w:val="32"/>
          <w:lang w:val="en-IN"/>
        </w:rPr>
        <w:t xml:space="preserve">his technology. </w:t>
      </w:r>
    </w:p>
    <w:p w:rsidR="00000000" w:rsidRPr="00C350B1" w:rsidRDefault="002E6158" w:rsidP="00C350B1">
      <w:pPr>
        <w:numPr>
          <w:ilvl w:val="0"/>
          <w:numId w:val="45"/>
        </w:numPr>
        <w:spacing w:line="360" w:lineRule="auto"/>
        <w:jc w:val="both"/>
        <w:rPr>
          <w:rFonts w:ascii="Times New Roman" w:hAnsi="Times New Roman" w:cs="Times New Roman"/>
          <w:bCs/>
          <w:sz w:val="32"/>
          <w:szCs w:val="32"/>
          <w:lang w:val="en-IN"/>
        </w:rPr>
      </w:pPr>
      <w:r w:rsidRPr="00C350B1">
        <w:rPr>
          <w:rFonts w:ascii="Times New Roman" w:hAnsi="Times New Roman" w:cs="Times New Roman"/>
          <w:bCs/>
          <w:sz w:val="32"/>
          <w:szCs w:val="32"/>
          <w:lang w:val="en-IN"/>
        </w:rPr>
        <w:t>Traditional WPT systems are not robust against alteration of distance and misalignment between coils , and variations in the terminating impedance of an electric power grid or battery over time.</w:t>
      </w:r>
    </w:p>
    <w:p w:rsidR="00000000" w:rsidRPr="00C350B1" w:rsidRDefault="002E6158" w:rsidP="00C350B1">
      <w:pPr>
        <w:numPr>
          <w:ilvl w:val="0"/>
          <w:numId w:val="45"/>
        </w:numPr>
        <w:spacing w:line="360" w:lineRule="auto"/>
        <w:jc w:val="both"/>
        <w:rPr>
          <w:rFonts w:ascii="Times New Roman" w:hAnsi="Times New Roman" w:cs="Times New Roman"/>
          <w:bCs/>
          <w:sz w:val="32"/>
          <w:szCs w:val="32"/>
          <w:lang w:val="en-IN"/>
        </w:rPr>
      </w:pPr>
      <w:r w:rsidRPr="00C350B1">
        <w:rPr>
          <w:rFonts w:ascii="Times New Roman" w:hAnsi="Times New Roman" w:cs="Times New Roman"/>
          <w:bCs/>
          <w:sz w:val="32"/>
          <w:szCs w:val="32"/>
          <w:lang w:val="en-IN"/>
        </w:rPr>
        <w:t xml:space="preserve">This is </w:t>
      </w:r>
      <w:r w:rsidRPr="00C350B1">
        <w:rPr>
          <w:rFonts w:ascii="Times New Roman" w:hAnsi="Times New Roman" w:cs="Times New Roman"/>
          <w:bCs/>
          <w:sz w:val="32"/>
          <w:szCs w:val="32"/>
          <w:lang w:val="en-IN"/>
        </w:rPr>
        <w:t>because while a positive resistor causes energy dissipations, a negative resistor represents an energy source</w:t>
      </w:r>
      <w:r w:rsidRPr="00C350B1">
        <w:rPr>
          <w:rFonts w:ascii="Times New Roman" w:hAnsi="Times New Roman" w:cs="Times New Roman"/>
          <w:bCs/>
          <w:sz w:val="32"/>
          <w:szCs w:val="32"/>
          <w:lang w:val="en-IN"/>
        </w:rPr>
        <w:t>.</w:t>
      </w:r>
      <w:r w:rsidRPr="00C350B1">
        <w:rPr>
          <w:rFonts w:ascii="Times New Roman" w:hAnsi="Times New Roman" w:cs="Times New Roman"/>
          <w:bCs/>
          <w:sz w:val="32"/>
          <w:szCs w:val="32"/>
          <w:lang w:val="en-IN"/>
        </w:rPr>
        <w:t xml:space="preserve"> </w:t>
      </w:r>
    </w:p>
    <w:p w:rsidR="000B33B0" w:rsidRPr="00C350B1" w:rsidRDefault="006A300A" w:rsidP="00C350B1">
      <w:pPr>
        <w:spacing w:line="360" w:lineRule="auto"/>
        <w:jc w:val="both"/>
        <w:rPr>
          <w:rFonts w:ascii="Times New Roman" w:eastAsia="Times New Roman" w:hAnsi="Times New Roman" w:cs="Times New Roman"/>
          <w:sz w:val="32"/>
          <w:szCs w:val="32"/>
        </w:rPr>
      </w:pPr>
      <w:r w:rsidRPr="00C350B1">
        <w:rPr>
          <w:rFonts w:ascii="Times New Roman" w:hAnsi="Times New Roman" w:cs="Times New Roman"/>
          <w:b/>
          <w:sz w:val="36"/>
          <w:szCs w:val="36"/>
        </w:rPr>
        <w:lastRenderedPageBreak/>
        <w:t xml:space="preserve">2.2. PROPOSED </w:t>
      </w:r>
      <w:r w:rsidR="000B33B0" w:rsidRPr="00C350B1">
        <w:rPr>
          <w:rFonts w:ascii="Times New Roman" w:hAnsi="Times New Roman" w:cs="Times New Roman"/>
          <w:b/>
          <w:sz w:val="36"/>
          <w:szCs w:val="36"/>
        </w:rPr>
        <w:t xml:space="preserve">SYSTEM </w:t>
      </w:r>
    </w:p>
    <w:p w:rsidR="00C350B1" w:rsidRPr="00C350B1" w:rsidRDefault="00C350B1" w:rsidP="00C350B1">
      <w:pPr>
        <w:pStyle w:val="NormalWeb"/>
        <w:numPr>
          <w:ilvl w:val="0"/>
          <w:numId w:val="46"/>
        </w:numPr>
        <w:spacing w:before="0" w:beforeAutospacing="0" w:after="0" w:afterAutospacing="0" w:line="360" w:lineRule="auto"/>
        <w:ind w:left="142" w:firstLine="0"/>
        <w:jc w:val="both"/>
        <w:rPr>
          <w:sz w:val="32"/>
          <w:szCs w:val="32"/>
        </w:rPr>
      </w:pPr>
      <w:r w:rsidRPr="00C350B1">
        <w:rPr>
          <w:sz w:val="32"/>
          <w:szCs w:val="32"/>
        </w:rPr>
        <w:t>Photonic topological edge modes (TEMs) can overcome the scattering losses caused by structural defects and disorders, which have been proposed for numerous topologically protected photonic devices, such as unidirectional waveguides , robust delay lines and single-mode lasers.</w:t>
      </w:r>
    </w:p>
    <w:p w:rsidR="00C350B1" w:rsidRPr="00C350B1" w:rsidRDefault="00C350B1" w:rsidP="00C350B1">
      <w:pPr>
        <w:pStyle w:val="NormalWeb"/>
        <w:numPr>
          <w:ilvl w:val="0"/>
          <w:numId w:val="46"/>
        </w:numPr>
        <w:spacing w:before="0" w:beforeAutospacing="0" w:after="0" w:afterAutospacing="0" w:line="360" w:lineRule="auto"/>
        <w:ind w:left="142" w:firstLine="0"/>
        <w:jc w:val="both"/>
        <w:rPr>
          <w:sz w:val="32"/>
          <w:szCs w:val="32"/>
        </w:rPr>
      </w:pPr>
      <w:r w:rsidRPr="00C350B1">
        <w:rPr>
          <w:sz w:val="32"/>
          <w:szCs w:val="32"/>
        </w:rPr>
        <w:t>As another effective solution, magnetic resonance WPT is proposed to achieve mid-range efficient energy transmission</w:t>
      </w:r>
    </w:p>
    <w:p w:rsidR="00C350B1" w:rsidRPr="00C350B1" w:rsidRDefault="00C350B1" w:rsidP="00C350B1">
      <w:pPr>
        <w:pStyle w:val="NormalWeb"/>
        <w:numPr>
          <w:ilvl w:val="0"/>
          <w:numId w:val="46"/>
        </w:numPr>
        <w:spacing w:before="0" w:beforeAutospacing="0" w:after="0" w:afterAutospacing="0" w:line="360" w:lineRule="auto"/>
        <w:ind w:left="142" w:firstLine="0"/>
        <w:jc w:val="both"/>
        <w:rPr>
          <w:sz w:val="32"/>
          <w:szCs w:val="32"/>
        </w:rPr>
      </w:pPr>
      <w:r w:rsidRPr="00C350B1">
        <w:rPr>
          <w:sz w:val="32"/>
          <w:szCs w:val="32"/>
        </w:rPr>
        <w:t xml:space="preserve">we recently proposed that the nontrivial dimer chain will provide a suitable platform for people to study the robust WPT in RF regime. </w:t>
      </w:r>
    </w:p>
    <w:p w:rsidR="00BB3207" w:rsidRDefault="00C350B1" w:rsidP="00C350B1">
      <w:pPr>
        <w:pStyle w:val="NormalWeb"/>
        <w:numPr>
          <w:ilvl w:val="0"/>
          <w:numId w:val="46"/>
        </w:numPr>
        <w:spacing w:before="0" w:beforeAutospacing="0" w:after="0" w:afterAutospacing="0" w:line="360" w:lineRule="auto"/>
        <w:ind w:left="142" w:firstLine="0"/>
        <w:jc w:val="both"/>
        <w:rPr>
          <w:sz w:val="32"/>
          <w:szCs w:val="32"/>
        </w:rPr>
      </w:pPr>
      <w:r w:rsidRPr="00C350B1">
        <w:rPr>
          <w:sz w:val="32"/>
          <w:szCs w:val="32"/>
        </w:rPr>
        <w:t>On the one hand, similar to the Domino structure composed of the coupled resonators for long-range WPT [64], the topological dimer chain can be used to realize the efficient long-range WPT.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350B1" w:rsidRDefault="002E6158" w:rsidP="00C350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50B1">
        <w:rPr>
          <w:rFonts w:ascii="Times New Roman" w:eastAsia="AdvGulliv-R" w:hAnsi="Times New Roman" w:cs="Times New Roman"/>
          <w:bCs/>
          <w:sz w:val="32"/>
          <w:szCs w:val="32"/>
          <w:lang w:val="en-IN"/>
        </w:rPr>
        <w:t xml:space="preserve">Besides, the range of inductive power transfer </w:t>
      </w:r>
      <w:r w:rsidRPr="00C350B1">
        <w:rPr>
          <w:rFonts w:ascii="Times New Roman" w:eastAsia="AdvGulliv-R" w:hAnsi="Times New Roman" w:cs="Times New Roman"/>
          <w:bCs/>
          <w:sz w:val="32"/>
          <w:szCs w:val="32"/>
          <w:lang w:val="en-IN"/>
        </w:rPr>
        <w:t xml:space="preserve">remains a principal challenge. In spite of advances in various coil designs and the capability to create spatial Bessel beams, it remains difficult to overcome the performance deterioration due to the poor tolerance in coil misalignment, especially in the </w:t>
      </w:r>
      <w:r w:rsidRPr="00C350B1">
        <w:rPr>
          <w:rFonts w:ascii="Times New Roman" w:eastAsia="AdvGulliv-R" w:hAnsi="Times New Roman" w:cs="Times New Roman"/>
          <w:bCs/>
          <w:sz w:val="32"/>
          <w:szCs w:val="32"/>
          <w:lang w:val="en-IN"/>
        </w:rPr>
        <w:t>weak-coupling regime.</w:t>
      </w:r>
    </w:p>
    <w:p w:rsidR="00000000" w:rsidRPr="00C350B1" w:rsidRDefault="002E6158" w:rsidP="00C350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50B1">
        <w:rPr>
          <w:rFonts w:ascii="Times New Roman" w:eastAsia="AdvGulliv-R" w:hAnsi="Times New Roman" w:cs="Times New Roman"/>
          <w:bCs/>
          <w:sz w:val="32"/>
          <w:szCs w:val="32"/>
          <w:lang w:val="en-IN"/>
        </w:rPr>
        <w:t>In this system, high-efficiency power transfer always takes place at ω0, and the performance is rather insensitive to the offset between the receiver and the transmitting module (i.e., κ variations) and to changes in the receiver’s l</w:t>
      </w:r>
      <w:r w:rsidRPr="00C350B1">
        <w:rPr>
          <w:rFonts w:ascii="Times New Roman" w:eastAsia="AdvGulliv-R" w:hAnsi="Times New Roman" w:cs="Times New Roman"/>
          <w:bCs/>
          <w:sz w:val="32"/>
          <w:szCs w:val="32"/>
          <w:lang w:val="en-IN"/>
        </w:rPr>
        <w:t>oad impedance.</w:t>
      </w:r>
    </w:p>
    <w:p w:rsidR="00000000" w:rsidRPr="00C350B1" w:rsidRDefault="002E6158" w:rsidP="00C350B1">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350B1">
        <w:rPr>
          <w:rFonts w:ascii="Times New Roman" w:eastAsia="AdvGulliv-R" w:hAnsi="Times New Roman" w:cs="Times New Roman"/>
          <w:bCs/>
          <w:sz w:val="32"/>
          <w:szCs w:val="32"/>
          <w:lang w:val="en-IN"/>
        </w:rPr>
        <w:lastRenderedPageBreak/>
        <w:t>To date, several techniques have been proposed to optimize the efficiency of power transfer, which include dynamic adjustment of operating frequency (resonant-frequency tracking), combination of multiple receivers and repeaters for adaptive</w:t>
      </w:r>
      <w:r w:rsidRPr="00C350B1">
        <w:rPr>
          <w:rFonts w:ascii="Times New Roman" w:eastAsia="AdvGulliv-R" w:hAnsi="Times New Roman" w:cs="Times New Roman"/>
          <w:bCs/>
          <w:sz w:val="32"/>
          <w:szCs w:val="32"/>
          <w:lang w:val="en-IN"/>
        </w:rPr>
        <w:t xml:space="preserve"> impedance matching, and adding nonlinear tuning elements in circuits</w:t>
      </w:r>
      <w:r w:rsidRPr="00C350B1">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ED3DB9" w:rsidRDefault="00ED3DB9" w:rsidP="00E53AA4">
            <w:pPr>
              <w:tabs>
                <w:tab w:val="left" w:pos="720"/>
              </w:tabs>
              <w:spacing w:after="100" w:line="360" w:lineRule="auto"/>
              <w:jc w:val="both"/>
              <w:rPr>
                <w:rFonts w:ascii="Times New Roman" w:hAnsi="Times New Roman" w:cs="Times New Roman"/>
                <w:sz w:val="28"/>
                <w:szCs w:val="28"/>
              </w:rPr>
            </w:pPr>
            <w:r w:rsidRPr="00ED3DB9">
              <w:rPr>
                <w:rFonts w:ascii="Times New Roman" w:eastAsia="Times New Roman" w:hAnsi="Times New Roman" w:cs="Times New Roman"/>
                <w:sz w:val="28"/>
                <w:szCs w:val="28"/>
                <w:lang w:val="en-IN"/>
              </w:rPr>
              <w:t>Wireless power transfer charging system for AIMDs and pacemakers</w:t>
            </w:r>
          </w:p>
        </w:tc>
        <w:tc>
          <w:tcPr>
            <w:tcW w:w="3192" w:type="dxa"/>
          </w:tcPr>
          <w:p w:rsidR="000C407B" w:rsidRPr="00ED3DB9" w:rsidRDefault="00ED3DB9" w:rsidP="00ED3DB9">
            <w:pPr>
              <w:tabs>
                <w:tab w:val="left" w:pos="720"/>
              </w:tabs>
              <w:spacing w:after="100" w:line="360" w:lineRule="auto"/>
              <w:jc w:val="both"/>
              <w:rPr>
                <w:rFonts w:ascii="Times New Roman" w:hAnsi="Times New Roman" w:cs="Times New Roman"/>
                <w:sz w:val="28"/>
                <w:szCs w:val="28"/>
              </w:rPr>
            </w:pPr>
            <w:r w:rsidRPr="00ED3DB9">
              <w:rPr>
                <w:rFonts w:ascii="Times New Roman" w:eastAsia="Times New Roman" w:hAnsi="Times New Roman" w:cs="Times New Roman"/>
                <w:sz w:val="28"/>
                <w:szCs w:val="28"/>
                <w:lang w:val="en-IN"/>
              </w:rPr>
              <w:t xml:space="preserve">T. Campi, S. Cruciani, F. Palandrani, V. De Santis, A. Hirata, and M. Feliziani, </w:t>
            </w:r>
          </w:p>
        </w:tc>
        <w:tc>
          <w:tcPr>
            <w:tcW w:w="3192" w:type="dxa"/>
          </w:tcPr>
          <w:p w:rsidR="000C407B" w:rsidRPr="00ED3DB9" w:rsidRDefault="00ED3DB9" w:rsidP="00E53AA4">
            <w:pPr>
              <w:tabs>
                <w:tab w:val="left" w:pos="720"/>
              </w:tabs>
              <w:spacing w:after="100" w:line="360" w:lineRule="auto"/>
              <w:jc w:val="both"/>
              <w:rPr>
                <w:rFonts w:ascii="Times New Roman" w:hAnsi="Times New Roman" w:cs="Times New Roman"/>
                <w:sz w:val="28"/>
                <w:szCs w:val="28"/>
              </w:rPr>
            </w:pPr>
            <w:r w:rsidRPr="00ED3DB9">
              <w:rPr>
                <w:rFonts w:ascii="Times New Roman" w:hAnsi="Times New Roman" w:cs="Times New Roman"/>
                <w:color w:val="333333"/>
                <w:sz w:val="28"/>
                <w:szCs w:val="28"/>
                <w:shd w:val="clear" w:color="auto" w:fill="FFFFFF"/>
              </w:rPr>
              <w:t>This paper deals with the electric and magnetic field (EMF) safety aspects of a wireless power transfer (WPT) system based on magnetic resonant coupling between two coils</w:t>
            </w:r>
          </w:p>
        </w:tc>
      </w:tr>
      <w:tr w:rsidR="000C407B" w:rsidTr="000C407B">
        <w:trPr>
          <w:trHeight w:val="2942"/>
        </w:trPr>
        <w:tc>
          <w:tcPr>
            <w:tcW w:w="3192" w:type="dxa"/>
          </w:tcPr>
          <w:p w:rsidR="000C407B" w:rsidRPr="00ED3DB9" w:rsidRDefault="00ED3DB9" w:rsidP="00E53AA4">
            <w:pPr>
              <w:tabs>
                <w:tab w:val="left" w:pos="720"/>
              </w:tabs>
              <w:spacing w:after="100" w:line="360" w:lineRule="auto"/>
              <w:jc w:val="both"/>
              <w:rPr>
                <w:rFonts w:ascii="Times New Roman" w:hAnsi="Times New Roman" w:cs="Times New Roman"/>
                <w:sz w:val="28"/>
                <w:szCs w:val="28"/>
              </w:rPr>
            </w:pPr>
            <w:r w:rsidRPr="00ED3DB9">
              <w:rPr>
                <w:rFonts w:ascii="Times New Roman" w:hAnsi="Times New Roman" w:cs="Times New Roman"/>
                <w:sz w:val="28"/>
                <w:szCs w:val="28"/>
              </w:rPr>
              <w:t>Past, present and future trends of non-radiative wireless power transfer</w:t>
            </w:r>
          </w:p>
        </w:tc>
        <w:tc>
          <w:tcPr>
            <w:tcW w:w="3192" w:type="dxa"/>
          </w:tcPr>
          <w:p w:rsidR="000C407B" w:rsidRPr="00ED3DB9" w:rsidRDefault="00ED3DB9" w:rsidP="00ED3DB9">
            <w:pPr>
              <w:tabs>
                <w:tab w:val="left" w:pos="720"/>
              </w:tabs>
              <w:spacing w:after="100" w:line="360" w:lineRule="auto"/>
              <w:jc w:val="both"/>
              <w:rPr>
                <w:rFonts w:ascii="Times New Roman" w:hAnsi="Times New Roman" w:cs="Times New Roman"/>
                <w:sz w:val="28"/>
                <w:szCs w:val="28"/>
              </w:rPr>
            </w:pPr>
            <w:r w:rsidRPr="00ED3DB9">
              <w:rPr>
                <w:rFonts w:ascii="Times New Roman" w:hAnsi="Times New Roman" w:cs="Times New Roman"/>
                <w:sz w:val="28"/>
                <w:szCs w:val="28"/>
              </w:rPr>
              <w:t xml:space="preserve">S. R. Hui, </w:t>
            </w:r>
          </w:p>
        </w:tc>
        <w:tc>
          <w:tcPr>
            <w:tcW w:w="3192" w:type="dxa"/>
          </w:tcPr>
          <w:p w:rsidR="000C407B" w:rsidRPr="00ED3DB9" w:rsidRDefault="00ED3DB9" w:rsidP="00E53AA4">
            <w:pPr>
              <w:tabs>
                <w:tab w:val="left" w:pos="720"/>
              </w:tabs>
              <w:spacing w:after="100" w:line="360" w:lineRule="auto"/>
              <w:jc w:val="both"/>
              <w:rPr>
                <w:rFonts w:ascii="Times New Roman" w:hAnsi="Times New Roman" w:cs="Times New Roman"/>
                <w:sz w:val="28"/>
                <w:szCs w:val="28"/>
              </w:rPr>
            </w:pPr>
            <w:r w:rsidRPr="00ED3DB9">
              <w:rPr>
                <w:rFonts w:ascii="Times New Roman" w:hAnsi="Times New Roman" w:cs="Times New Roman"/>
                <w:color w:val="333333"/>
                <w:sz w:val="28"/>
                <w:szCs w:val="28"/>
                <w:shd w:val="clear" w:color="auto" w:fill="FFFFFF"/>
              </w:rPr>
              <w:t>This paper aims at providing a brief history of some key concepts and technologies that pave the way for modern WPT research and applications.</w:t>
            </w:r>
          </w:p>
        </w:tc>
      </w:tr>
      <w:tr w:rsidR="000C407B" w:rsidTr="000C407B">
        <w:tc>
          <w:tcPr>
            <w:tcW w:w="3192" w:type="dxa"/>
          </w:tcPr>
          <w:p w:rsidR="000C407B" w:rsidRPr="00ED3DB9" w:rsidRDefault="00ED3DB9" w:rsidP="00E53AA4">
            <w:pPr>
              <w:tabs>
                <w:tab w:val="left" w:pos="720"/>
              </w:tabs>
              <w:spacing w:after="100" w:line="360" w:lineRule="auto"/>
              <w:jc w:val="both"/>
              <w:rPr>
                <w:rFonts w:ascii="Times New Roman" w:hAnsi="Times New Roman" w:cs="Times New Roman"/>
                <w:sz w:val="28"/>
                <w:szCs w:val="28"/>
              </w:rPr>
            </w:pPr>
            <w:r w:rsidRPr="00ED3DB9">
              <w:rPr>
                <w:rFonts w:ascii="Times New Roman" w:hAnsi="Times New Roman" w:cs="Times New Roman"/>
                <w:sz w:val="28"/>
                <w:szCs w:val="28"/>
              </w:rPr>
              <w:t>Modern advances in wireless power transfer systems for roadway powered electric vehicles</w:t>
            </w:r>
          </w:p>
        </w:tc>
        <w:tc>
          <w:tcPr>
            <w:tcW w:w="3192" w:type="dxa"/>
          </w:tcPr>
          <w:p w:rsidR="000C407B" w:rsidRPr="00ED3DB9" w:rsidRDefault="00ED3DB9" w:rsidP="00ED3DB9">
            <w:pPr>
              <w:tabs>
                <w:tab w:val="left" w:pos="720"/>
              </w:tabs>
              <w:spacing w:after="100" w:line="360" w:lineRule="auto"/>
              <w:jc w:val="both"/>
              <w:rPr>
                <w:rFonts w:ascii="Times New Roman" w:hAnsi="Times New Roman" w:cs="Times New Roman"/>
                <w:sz w:val="28"/>
                <w:szCs w:val="28"/>
              </w:rPr>
            </w:pPr>
            <w:r w:rsidRPr="00ED3DB9">
              <w:rPr>
                <w:rFonts w:ascii="Times New Roman" w:hAnsi="Times New Roman" w:cs="Times New Roman"/>
                <w:sz w:val="28"/>
                <w:szCs w:val="28"/>
              </w:rPr>
              <w:t xml:space="preserve">C. C. Mi, G. Buja, S. Y. Choi, and C. T. Rim, </w:t>
            </w:r>
          </w:p>
        </w:tc>
        <w:tc>
          <w:tcPr>
            <w:tcW w:w="3192" w:type="dxa"/>
          </w:tcPr>
          <w:p w:rsidR="000C407B" w:rsidRPr="00ED3DB9" w:rsidRDefault="00ED3DB9" w:rsidP="00E53AA4">
            <w:pPr>
              <w:tabs>
                <w:tab w:val="left" w:pos="720"/>
              </w:tabs>
              <w:spacing w:after="100" w:line="360" w:lineRule="auto"/>
              <w:jc w:val="both"/>
              <w:rPr>
                <w:rFonts w:ascii="Times New Roman" w:hAnsi="Times New Roman" w:cs="Times New Roman"/>
                <w:sz w:val="28"/>
                <w:szCs w:val="28"/>
              </w:rPr>
            </w:pPr>
            <w:r w:rsidRPr="00ED3DB9">
              <w:rPr>
                <w:rFonts w:ascii="Times New Roman" w:hAnsi="Times New Roman" w:cs="Times New Roman"/>
                <w:color w:val="333333"/>
                <w:sz w:val="28"/>
                <w:szCs w:val="28"/>
                <w:shd w:val="clear" w:color="auto" w:fill="FFFFFF"/>
              </w:rPr>
              <w:t> Major milestones of the developments of other RPEVs are also summarized.</w:t>
            </w:r>
          </w:p>
        </w:tc>
      </w:tr>
      <w:tr w:rsidR="000C407B" w:rsidTr="000C407B">
        <w:tc>
          <w:tcPr>
            <w:tcW w:w="3192" w:type="dxa"/>
          </w:tcPr>
          <w:p w:rsidR="000C407B" w:rsidRPr="00ED3DB9" w:rsidRDefault="00ED3DB9" w:rsidP="00E53AA4">
            <w:pPr>
              <w:tabs>
                <w:tab w:val="left" w:pos="720"/>
              </w:tabs>
              <w:spacing w:after="100" w:line="360" w:lineRule="auto"/>
              <w:jc w:val="both"/>
              <w:rPr>
                <w:rFonts w:ascii="Times New Roman" w:hAnsi="Times New Roman" w:cs="Times New Roman"/>
                <w:sz w:val="28"/>
                <w:szCs w:val="28"/>
              </w:rPr>
            </w:pPr>
            <w:r w:rsidRPr="00ED3DB9">
              <w:rPr>
                <w:rFonts w:ascii="Times New Roman" w:hAnsi="Times New Roman" w:cs="Times New Roman"/>
                <w:sz w:val="28"/>
                <w:szCs w:val="28"/>
              </w:rPr>
              <w:t xml:space="preserve">Wireless charger </w:t>
            </w:r>
            <w:r w:rsidRPr="00ED3DB9">
              <w:rPr>
                <w:rFonts w:ascii="Times New Roman" w:hAnsi="Times New Roman" w:cs="Times New Roman"/>
                <w:sz w:val="28"/>
                <w:szCs w:val="28"/>
              </w:rPr>
              <w:lastRenderedPageBreak/>
              <w:t>placement and power allocation for maximizing charging quality</w:t>
            </w:r>
          </w:p>
        </w:tc>
        <w:tc>
          <w:tcPr>
            <w:tcW w:w="3192" w:type="dxa"/>
          </w:tcPr>
          <w:p w:rsidR="000C407B" w:rsidRPr="00ED3DB9" w:rsidRDefault="00ED3DB9" w:rsidP="00ED3DB9">
            <w:pPr>
              <w:tabs>
                <w:tab w:val="left" w:pos="720"/>
              </w:tabs>
              <w:spacing w:after="100" w:line="360" w:lineRule="auto"/>
              <w:jc w:val="both"/>
              <w:rPr>
                <w:rFonts w:ascii="Times New Roman" w:hAnsi="Times New Roman" w:cs="Times New Roman"/>
                <w:sz w:val="28"/>
                <w:szCs w:val="28"/>
              </w:rPr>
            </w:pPr>
            <w:r w:rsidRPr="00ED3DB9">
              <w:rPr>
                <w:rFonts w:ascii="Times New Roman" w:hAnsi="Times New Roman" w:cs="Times New Roman"/>
                <w:sz w:val="28"/>
                <w:szCs w:val="28"/>
              </w:rPr>
              <w:lastRenderedPageBreak/>
              <w:t xml:space="preserve">S. Zhang, Z. Qian, J. Wu, </w:t>
            </w:r>
            <w:r w:rsidRPr="00ED3DB9">
              <w:rPr>
                <w:rFonts w:ascii="Times New Roman" w:hAnsi="Times New Roman" w:cs="Times New Roman"/>
                <w:sz w:val="28"/>
                <w:szCs w:val="28"/>
              </w:rPr>
              <w:lastRenderedPageBreak/>
              <w:t>F. Kong, and S. Lu,</w:t>
            </w:r>
          </w:p>
        </w:tc>
        <w:tc>
          <w:tcPr>
            <w:tcW w:w="3192" w:type="dxa"/>
          </w:tcPr>
          <w:p w:rsidR="000C407B" w:rsidRPr="00ED3DB9" w:rsidRDefault="00ED3DB9" w:rsidP="00E53AA4">
            <w:pPr>
              <w:tabs>
                <w:tab w:val="left" w:pos="720"/>
              </w:tabs>
              <w:spacing w:after="100" w:line="360" w:lineRule="auto"/>
              <w:jc w:val="both"/>
              <w:rPr>
                <w:rFonts w:ascii="Times New Roman" w:hAnsi="Times New Roman" w:cs="Times New Roman"/>
                <w:sz w:val="28"/>
                <w:szCs w:val="28"/>
              </w:rPr>
            </w:pPr>
            <w:r w:rsidRPr="00ED3DB9">
              <w:rPr>
                <w:rFonts w:ascii="Times New Roman" w:hAnsi="Times New Roman" w:cs="Times New Roman"/>
                <w:color w:val="333333"/>
                <w:sz w:val="28"/>
                <w:szCs w:val="28"/>
                <w:shd w:val="clear" w:color="auto" w:fill="FFFFFF"/>
              </w:rPr>
              <w:lastRenderedPageBreak/>
              <w:t xml:space="preserve">Existing studies have </w:t>
            </w:r>
            <w:r w:rsidRPr="00ED3DB9">
              <w:rPr>
                <w:rFonts w:ascii="Times New Roman" w:hAnsi="Times New Roman" w:cs="Times New Roman"/>
                <w:color w:val="333333"/>
                <w:sz w:val="28"/>
                <w:szCs w:val="28"/>
                <w:shd w:val="clear" w:color="auto" w:fill="FFFFFF"/>
              </w:rPr>
              <w:lastRenderedPageBreak/>
              <w:t>mainly focused on maximizing network lifetime, optimizing charging efficiency, minimizing charging delay, etc.</w:t>
            </w:r>
          </w:p>
        </w:tc>
      </w:tr>
    </w:tbl>
    <w:p w:rsidR="00C80628" w:rsidRDefault="00C8062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262763" w:rsidRDefault="00262763" w:rsidP="00262763"/>
    <w:p w:rsidR="00262763" w:rsidRPr="00262763" w:rsidRDefault="00262763" w:rsidP="00262763"/>
    <w:p w:rsidR="00305BF0" w:rsidRPr="00D81E16" w:rsidRDefault="00305BF0" w:rsidP="0026276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262763" w:rsidRDefault="00405E73" w:rsidP="00262763">
      <w:pPr>
        <w:spacing w:line="360" w:lineRule="auto"/>
        <w:jc w:val="both"/>
        <w:rPr>
          <w:rFonts w:ascii="Times New Roman" w:hAnsi="Times New Roman" w:cs="Times New Roman"/>
          <w:b/>
          <w:bCs/>
          <w:sz w:val="36"/>
          <w:szCs w:val="36"/>
        </w:rPr>
      </w:pPr>
      <w:r w:rsidRPr="00262763">
        <w:rPr>
          <w:rFonts w:ascii="Times New Roman" w:hAnsi="Times New Roman" w:cs="Times New Roman"/>
          <w:b/>
          <w:sz w:val="40"/>
          <w:szCs w:val="40"/>
        </w:rPr>
        <w:t>SYSTEM ARCHICTURE</w:t>
      </w:r>
    </w:p>
    <w:p w:rsidR="00D81E16" w:rsidRPr="00C350B1" w:rsidRDefault="00C350B1" w:rsidP="00C350B1">
      <w:pPr>
        <w:spacing w:after="0" w:line="360" w:lineRule="auto"/>
        <w:jc w:val="both"/>
        <w:rPr>
          <w:rFonts w:ascii="Times New Roman" w:hAnsi="Times New Roman" w:cs="Times New Roman"/>
        </w:rPr>
      </w:pPr>
      <w:r w:rsidRPr="00C350B1">
        <w:rPr>
          <w:rFonts w:ascii="Times New Roman" w:hAnsi="Times New Roman" w:cs="Times New Roman"/>
        </w:rPr>
        <w:drawing>
          <wp:inline distT="0" distB="0" distL="0" distR="0">
            <wp:extent cx="5941770" cy="4524375"/>
            <wp:effectExtent l="19050" t="0" r="1830" b="0"/>
            <wp:docPr id="2"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3.png"/>
                    <pic:cNvPicPr>
                      <a:picLocks noGrp="1" noChangeAspect="1" noChangeArrowheads="1"/>
                    </pic:cNvPicPr>
                  </pic:nvPicPr>
                  <pic:blipFill>
                    <a:blip r:embed="rId8"/>
                    <a:srcRect/>
                    <a:stretch>
                      <a:fillRect/>
                    </a:stretch>
                  </pic:blipFill>
                  <pic:spPr bwMode="auto">
                    <a:xfrm>
                      <a:off x="0" y="0"/>
                      <a:ext cx="5943600" cy="4525768"/>
                    </a:xfrm>
                    <a:prstGeom prst="rect">
                      <a:avLst/>
                    </a:prstGeom>
                    <a:noFill/>
                  </pic:spPr>
                </pic:pic>
              </a:graphicData>
            </a:graphic>
          </wp:inline>
        </w:drawing>
      </w:r>
      <w:r w:rsidR="00D81E16">
        <w:rPr>
          <w:rFonts w:ascii="Times New Roman" w:hAnsi="Times New Roman" w:cs="Times New Roman"/>
          <w:b/>
          <w:noProof/>
          <w:sz w:val="28"/>
          <w:szCs w:val="28"/>
        </w:rPr>
        <w:t xml:space="preserve">              </w:t>
      </w:r>
    </w:p>
    <w:p w:rsidR="00C350B1"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C350B1" w:rsidRDefault="00C350B1" w:rsidP="00E53AA4">
      <w:pPr>
        <w:spacing w:before="100" w:after="100" w:line="360" w:lineRule="auto"/>
        <w:jc w:val="both"/>
        <w:rPr>
          <w:rFonts w:ascii="Times New Roman" w:hAnsi="Times New Roman" w:cs="Times New Roman"/>
          <w:b/>
          <w:sz w:val="28"/>
          <w:szCs w:val="28"/>
        </w:rPr>
      </w:pPr>
    </w:p>
    <w:p w:rsidR="00C350B1" w:rsidRDefault="00C350B1" w:rsidP="00E53AA4">
      <w:pPr>
        <w:spacing w:before="100" w:after="100" w:line="360" w:lineRule="auto"/>
        <w:jc w:val="both"/>
        <w:rPr>
          <w:rFonts w:ascii="Times New Roman" w:hAnsi="Times New Roman" w:cs="Times New Roman"/>
          <w:b/>
          <w:sz w:val="28"/>
          <w:szCs w:val="28"/>
        </w:rPr>
      </w:pPr>
    </w:p>
    <w:p w:rsidR="00C350B1" w:rsidRDefault="00C350B1" w:rsidP="00E53AA4">
      <w:pPr>
        <w:spacing w:before="100" w:after="100" w:line="360" w:lineRule="auto"/>
        <w:jc w:val="both"/>
        <w:rPr>
          <w:rFonts w:ascii="Times New Roman" w:hAnsi="Times New Roman" w:cs="Times New Roman"/>
          <w:b/>
          <w:sz w:val="28"/>
          <w:szCs w:val="28"/>
        </w:rPr>
      </w:pPr>
    </w:p>
    <w:p w:rsidR="00C350B1" w:rsidRDefault="00C350B1" w:rsidP="00E53AA4">
      <w:pPr>
        <w:spacing w:before="100" w:after="100" w:line="360" w:lineRule="auto"/>
        <w:jc w:val="both"/>
        <w:rPr>
          <w:rFonts w:ascii="Times New Roman" w:hAnsi="Times New Roman" w:cs="Times New Roman"/>
          <w:b/>
          <w:sz w:val="28"/>
          <w:szCs w:val="28"/>
        </w:rPr>
      </w:pPr>
    </w:p>
    <w:p w:rsidR="00C350B1" w:rsidRDefault="00C350B1" w:rsidP="00E53AA4">
      <w:pPr>
        <w:spacing w:before="100" w:after="100" w:line="360" w:lineRule="auto"/>
        <w:jc w:val="both"/>
        <w:rPr>
          <w:rFonts w:ascii="Times New Roman" w:hAnsi="Times New Roman" w:cs="Times New Roman"/>
          <w:b/>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262763" w:rsidRDefault="00262763" w:rsidP="00E53AA4">
      <w:pPr>
        <w:pStyle w:val="BodyText"/>
        <w:rPr>
          <w:b/>
          <w:iCs/>
          <w:sz w:val="32"/>
          <w:szCs w:val="32"/>
        </w:rPr>
      </w:pPr>
      <w:r w:rsidRPr="00262763">
        <w:rPr>
          <w:sz w:val="32"/>
          <w:szCs w:val="32"/>
        </w:rPr>
        <w:t>We have shown that a real and constant eigenfrequency in the higher-order PT-symmetric electronic systems can be exploited to realize a robust wireless power transfer platform without hopping the frequency of operation. In this system, the two-dimensional eigenspectrum is flat with respect to changes in the coupling strength and the gain-loss parameter, thus ensuring a consistently high efficiency that is not influenced by distance and alignment between the receiver and the power supplier [which comprises both transmitter and repeater(s)]. Additionally, this effect is prominent even for the midrange wireless power transfer with loose magnetic coupling. The third-order PT circuit described here also exhibits bifurcating eigenfrequencies, which, together with the invariant and real one (of interest for WPT applications), may enable a multifunctional platform that simultaneously provides wireless charging and sensing. Further studies may make a breakthrough in dynamic and alignment-free wireless charging technology with extended range.</w:t>
      </w:r>
    </w:p>
    <w:p w:rsidR="003C0F6F" w:rsidRDefault="003C0F6F" w:rsidP="00E53AA4">
      <w:pPr>
        <w:pStyle w:val="BodyText"/>
        <w:rPr>
          <w:b/>
          <w:iCs/>
          <w:sz w:val="28"/>
          <w:szCs w:val="28"/>
        </w:rPr>
      </w:pPr>
    </w:p>
    <w:p w:rsidR="00262763" w:rsidRDefault="00262763" w:rsidP="00E53AA4">
      <w:pPr>
        <w:pStyle w:val="BodyText"/>
        <w:rPr>
          <w:b/>
          <w:iCs/>
          <w:sz w:val="28"/>
          <w:szCs w:val="28"/>
        </w:rPr>
      </w:pPr>
    </w:p>
    <w:p w:rsidR="00262763" w:rsidRDefault="00262763" w:rsidP="00E53AA4">
      <w:pPr>
        <w:pStyle w:val="BodyText"/>
        <w:rPr>
          <w:b/>
          <w:iCs/>
          <w:sz w:val="28"/>
          <w:szCs w:val="28"/>
        </w:rPr>
      </w:pPr>
    </w:p>
    <w:p w:rsidR="00262763" w:rsidRDefault="00262763" w:rsidP="00E53AA4">
      <w:pPr>
        <w:pStyle w:val="BodyText"/>
        <w:rPr>
          <w:b/>
          <w:iCs/>
          <w:sz w:val="28"/>
          <w:szCs w:val="28"/>
        </w:rPr>
      </w:pPr>
    </w:p>
    <w:p w:rsidR="00262763" w:rsidRDefault="00262763" w:rsidP="00E53AA4">
      <w:pPr>
        <w:pStyle w:val="BodyText"/>
        <w:rPr>
          <w:b/>
          <w:iCs/>
          <w:sz w:val="28"/>
          <w:szCs w:val="28"/>
        </w:rPr>
      </w:pPr>
    </w:p>
    <w:p w:rsidR="00262763" w:rsidRDefault="00262763" w:rsidP="00E53AA4">
      <w:pPr>
        <w:pStyle w:val="BodyText"/>
        <w:rPr>
          <w:b/>
          <w:iCs/>
          <w:sz w:val="28"/>
          <w:szCs w:val="28"/>
        </w:rPr>
      </w:pPr>
    </w:p>
    <w:p w:rsidR="00262763" w:rsidRDefault="00262763"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262763" w:rsidRDefault="002E6158" w:rsidP="00262763">
      <w:pPr>
        <w:pStyle w:val="BodyText"/>
        <w:numPr>
          <w:ilvl w:val="0"/>
          <w:numId w:val="42"/>
        </w:numPr>
        <w:rPr>
          <w:sz w:val="32"/>
          <w:szCs w:val="32"/>
          <w:lang w:val="en-IN"/>
        </w:rPr>
      </w:pPr>
      <w:r w:rsidRPr="00262763">
        <w:rPr>
          <w:sz w:val="32"/>
          <w:szCs w:val="32"/>
          <w:lang w:val="en-IN"/>
        </w:rPr>
        <w:t>[1] X. Lu, D. Niyato, P. Wang, D. I. Kim, and Z. Han, Wireless charger networking f</w:t>
      </w:r>
      <w:r w:rsidRPr="00262763">
        <w:rPr>
          <w:sz w:val="32"/>
          <w:szCs w:val="32"/>
          <w:lang w:val="en-IN"/>
        </w:rPr>
        <w:t xml:space="preserve">or mobile devices: Fundamentals, standards, and applications, IEEE Wirel. Commun. 22, 126 (2015). </w:t>
      </w:r>
    </w:p>
    <w:p w:rsidR="00000000" w:rsidRPr="00262763" w:rsidRDefault="002E6158" w:rsidP="00262763">
      <w:pPr>
        <w:pStyle w:val="BodyText"/>
        <w:numPr>
          <w:ilvl w:val="0"/>
          <w:numId w:val="42"/>
        </w:numPr>
        <w:rPr>
          <w:sz w:val="32"/>
          <w:szCs w:val="32"/>
          <w:lang w:val="en-IN"/>
        </w:rPr>
      </w:pPr>
      <w:r w:rsidRPr="00262763">
        <w:rPr>
          <w:sz w:val="32"/>
          <w:szCs w:val="32"/>
          <w:lang w:val="en-IN"/>
        </w:rPr>
        <w:t xml:space="preserve">[2] T. Campi, S. Cruciani, F. Palandrani, V. De Santis, A. Hirata, and M. Feliziani, Wireless power transfer charging system for AIMDs and pacemakers, IEEE </w:t>
      </w:r>
      <w:r w:rsidRPr="00262763">
        <w:rPr>
          <w:sz w:val="32"/>
          <w:szCs w:val="32"/>
          <w:lang w:val="en-IN"/>
        </w:rPr>
        <w:t xml:space="preserve">Trans. Microwave Theory Tech. 64, 633 (2016). </w:t>
      </w:r>
    </w:p>
    <w:p w:rsidR="00000000" w:rsidRPr="00262763" w:rsidRDefault="002E6158" w:rsidP="00262763">
      <w:pPr>
        <w:pStyle w:val="BodyText"/>
        <w:numPr>
          <w:ilvl w:val="0"/>
          <w:numId w:val="42"/>
        </w:numPr>
        <w:rPr>
          <w:sz w:val="32"/>
          <w:szCs w:val="32"/>
          <w:lang w:val="en-IN"/>
        </w:rPr>
      </w:pPr>
      <w:r w:rsidRPr="00262763">
        <w:rPr>
          <w:sz w:val="32"/>
          <w:szCs w:val="32"/>
          <w:lang w:val="en-IN"/>
        </w:rPr>
        <w:t xml:space="preserve">[3] S. R. Hui, Past, present and future trends of non-radiative wireless power transfer, CPSS Trans. Power Electron. Appl., 1, 83 (2016). </w:t>
      </w:r>
    </w:p>
    <w:p w:rsidR="00000000" w:rsidRPr="00262763" w:rsidRDefault="002E6158" w:rsidP="00262763">
      <w:pPr>
        <w:pStyle w:val="BodyText"/>
        <w:numPr>
          <w:ilvl w:val="0"/>
          <w:numId w:val="42"/>
        </w:numPr>
        <w:rPr>
          <w:sz w:val="32"/>
          <w:szCs w:val="32"/>
          <w:lang w:val="en-IN"/>
        </w:rPr>
      </w:pPr>
      <w:r w:rsidRPr="00262763">
        <w:rPr>
          <w:sz w:val="32"/>
          <w:szCs w:val="32"/>
          <w:lang w:val="en-IN"/>
        </w:rPr>
        <w:t>[4] C. C. Mi, G. Buja, S. Y. Choi, and C. T. Rim, Modern advances in</w:t>
      </w:r>
      <w:r w:rsidRPr="00262763">
        <w:rPr>
          <w:sz w:val="32"/>
          <w:szCs w:val="32"/>
          <w:lang w:val="en-IN"/>
        </w:rPr>
        <w:t xml:space="preserve"> wireless power transfer systems for roadway powered electric vehicles, IEEE Trans. Indust. Electron. 63, 6533 (2016). </w:t>
      </w:r>
    </w:p>
    <w:p w:rsidR="00000000" w:rsidRPr="00262763" w:rsidRDefault="002E6158" w:rsidP="00262763">
      <w:pPr>
        <w:pStyle w:val="BodyText"/>
        <w:numPr>
          <w:ilvl w:val="0"/>
          <w:numId w:val="42"/>
        </w:numPr>
        <w:rPr>
          <w:sz w:val="32"/>
          <w:szCs w:val="32"/>
          <w:lang w:val="en-IN"/>
        </w:rPr>
      </w:pPr>
      <w:r w:rsidRPr="00262763">
        <w:rPr>
          <w:sz w:val="32"/>
          <w:szCs w:val="32"/>
          <w:lang w:val="en-IN"/>
        </w:rPr>
        <w:t>[5] S. Zhang, Z. Qian, J. Wu, F. Kong, and S. Lu, Wireless charger placement and power allocation for maximizing charging quality, IEEE</w:t>
      </w:r>
      <w:r w:rsidRPr="00262763">
        <w:rPr>
          <w:sz w:val="32"/>
          <w:szCs w:val="32"/>
          <w:lang w:val="en-IN"/>
        </w:rPr>
        <w:t xml:space="preserve"> Trans. Mob. Comput. 17, 1483 (2017).</w:t>
      </w:r>
      <w:r w:rsidRPr="00262763">
        <w:rPr>
          <w:sz w:val="32"/>
          <w:szCs w:val="32"/>
        </w:rPr>
        <w:t xml:space="preserve"> </w:t>
      </w:r>
    </w:p>
    <w:p w:rsidR="00000000" w:rsidRPr="00262763" w:rsidRDefault="002E6158" w:rsidP="00262763">
      <w:pPr>
        <w:pStyle w:val="BodyText"/>
        <w:numPr>
          <w:ilvl w:val="0"/>
          <w:numId w:val="42"/>
        </w:numPr>
        <w:rPr>
          <w:sz w:val="32"/>
          <w:szCs w:val="32"/>
          <w:lang w:val="en-IN"/>
        </w:rPr>
      </w:pPr>
      <w:r w:rsidRPr="00262763">
        <w:rPr>
          <w:sz w:val="32"/>
          <w:szCs w:val="32"/>
          <w:lang w:val="en-IN"/>
        </w:rPr>
        <w:t>[6] H. Dai et al., Safe charging for wireless power transfer, IEEE/ACM Trans. Networking (TON) 25, 3531 (2017).</w:t>
      </w:r>
    </w:p>
    <w:p w:rsidR="00000000" w:rsidRPr="00262763" w:rsidRDefault="002E6158" w:rsidP="00262763">
      <w:pPr>
        <w:pStyle w:val="BodyText"/>
        <w:numPr>
          <w:ilvl w:val="0"/>
          <w:numId w:val="42"/>
        </w:numPr>
        <w:rPr>
          <w:sz w:val="32"/>
          <w:szCs w:val="32"/>
          <w:lang w:val="en-IN"/>
        </w:rPr>
      </w:pPr>
      <w:r w:rsidRPr="00262763">
        <w:rPr>
          <w:sz w:val="32"/>
          <w:szCs w:val="32"/>
          <w:lang w:val="en-IN"/>
        </w:rPr>
        <w:lastRenderedPageBreak/>
        <w:t>[7] S. Assawaworrarit, X. Yu, and S. Fan, Robust wireless power transfer using a nonlinear parity–time-</w:t>
      </w:r>
      <w:r w:rsidRPr="00262763">
        <w:rPr>
          <w:sz w:val="32"/>
          <w:szCs w:val="32"/>
          <w:lang w:val="en-IN"/>
        </w:rPr>
        <w:t xml:space="preserve">symmetric circuit, Nature 546, 387 (2017). </w:t>
      </w:r>
    </w:p>
    <w:p w:rsidR="00000000" w:rsidRPr="00262763" w:rsidRDefault="002E6158" w:rsidP="00262763">
      <w:pPr>
        <w:pStyle w:val="BodyText"/>
        <w:numPr>
          <w:ilvl w:val="0"/>
          <w:numId w:val="42"/>
        </w:numPr>
        <w:rPr>
          <w:sz w:val="32"/>
          <w:szCs w:val="32"/>
          <w:lang w:val="en-IN"/>
        </w:rPr>
      </w:pPr>
      <w:r w:rsidRPr="00262763">
        <w:rPr>
          <w:sz w:val="32"/>
          <w:szCs w:val="32"/>
          <w:lang w:val="en-IN"/>
        </w:rPr>
        <w:t xml:space="preserve">[8] T. Kan, F. Lu, T.-D. Nguyen, P. P. Mercier, and C. C. Mi, Integrated coil design for EV wireless charging systems UsingLCCCompensation topology, IEEE Trans. Power Electron. 33, 9231 (2018). </w:t>
      </w:r>
    </w:p>
    <w:p w:rsidR="00000000" w:rsidRPr="00262763" w:rsidRDefault="002E6158" w:rsidP="00262763">
      <w:pPr>
        <w:pStyle w:val="BodyText"/>
        <w:numPr>
          <w:ilvl w:val="0"/>
          <w:numId w:val="42"/>
        </w:numPr>
        <w:rPr>
          <w:sz w:val="32"/>
          <w:szCs w:val="32"/>
          <w:lang w:val="en-IN"/>
        </w:rPr>
      </w:pPr>
      <w:r w:rsidRPr="00262763">
        <w:rPr>
          <w:sz w:val="32"/>
          <w:szCs w:val="32"/>
          <w:lang w:val="en-IN"/>
        </w:rPr>
        <w:t>[9] A. Triviño-</w:t>
      </w:r>
      <w:r w:rsidRPr="00262763">
        <w:rPr>
          <w:sz w:val="32"/>
          <w:szCs w:val="32"/>
          <w:lang w:val="en-IN"/>
        </w:rPr>
        <w:t xml:space="preserve">Cabrera and J. A. Aguado, Wireless charging for electric vehicles in the smart cities: Technology review and impact, Transportation Power Grid Smart Cities: Communication Networks Services 411 (2018). </w:t>
      </w:r>
    </w:p>
    <w:p w:rsidR="00000000" w:rsidRPr="00262763" w:rsidRDefault="002E6158" w:rsidP="00262763">
      <w:pPr>
        <w:pStyle w:val="BodyText"/>
        <w:numPr>
          <w:ilvl w:val="0"/>
          <w:numId w:val="42"/>
        </w:numPr>
        <w:rPr>
          <w:sz w:val="32"/>
          <w:szCs w:val="32"/>
          <w:lang w:val="en-IN"/>
        </w:rPr>
      </w:pPr>
      <w:r w:rsidRPr="00262763">
        <w:rPr>
          <w:sz w:val="32"/>
          <w:szCs w:val="32"/>
          <w:lang w:val="en-IN"/>
        </w:rPr>
        <w:t>[10] J. Zhou, B. Zhang, W. Xiao, D. Qiu, and Y. Chen,</w:t>
      </w:r>
      <w:r w:rsidRPr="00262763">
        <w:rPr>
          <w:sz w:val="32"/>
          <w:szCs w:val="32"/>
          <w:lang w:val="en-IN"/>
        </w:rPr>
        <w:t xml:space="preserve"> Nonlinear parity-time-symmetric model for constant efficiency wireless power transfer: application to a drone-in-flight wireless charging platform, IEEE Trans. Indust. Electron. 66, 4097 (2019).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6158" w:rsidRDefault="002E6158" w:rsidP="003654DF">
      <w:pPr>
        <w:spacing w:after="0" w:line="240" w:lineRule="auto"/>
      </w:pPr>
      <w:r>
        <w:separator/>
      </w:r>
    </w:p>
  </w:endnote>
  <w:endnote w:type="continuationSeparator" w:id="1">
    <w:p w:rsidR="002E6158" w:rsidRDefault="002E615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6158" w:rsidRDefault="002E6158" w:rsidP="003654DF">
      <w:pPr>
        <w:spacing w:after="0" w:line="240" w:lineRule="auto"/>
      </w:pPr>
      <w:r>
        <w:separator/>
      </w:r>
    </w:p>
  </w:footnote>
  <w:footnote w:type="continuationSeparator" w:id="1">
    <w:p w:rsidR="002E6158" w:rsidRDefault="002E615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A74DD">
        <w:pPr>
          <w:pStyle w:val="Header"/>
          <w:jc w:val="right"/>
        </w:pPr>
        <w:fldSimple w:instr=" PAGE   \* MERGEFORMAT ">
          <w:r w:rsidR="00C80628">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CD7004D"/>
    <w:multiLevelType w:val="hybridMultilevel"/>
    <w:tmpl w:val="6626415C"/>
    <w:lvl w:ilvl="0" w:tplc="E070A9DA">
      <w:start w:val="1"/>
      <w:numFmt w:val="bullet"/>
      <w:lvlText w:val=""/>
      <w:lvlJc w:val="left"/>
      <w:pPr>
        <w:tabs>
          <w:tab w:val="num" w:pos="720"/>
        </w:tabs>
        <w:ind w:left="720" w:hanging="360"/>
      </w:pPr>
      <w:rPr>
        <w:rFonts w:ascii="Wingdings 2" w:hAnsi="Wingdings 2" w:hint="default"/>
      </w:rPr>
    </w:lvl>
    <w:lvl w:ilvl="1" w:tplc="90DCBD24" w:tentative="1">
      <w:start w:val="1"/>
      <w:numFmt w:val="bullet"/>
      <w:lvlText w:val=""/>
      <w:lvlJc w:val="left"/>
      <w:pPr>
        <w:tabs>
          <w:tab w:val="num" w:pos="1440"/>
        </w:tabs>
        <w:ind w:left="1440" w:hanging="360"/>
      </w:pPr>
      <w:rPr>
        <w:rFonts w:ascii="Wingdings 2" w:hAnsi="Wingdings 2" w:hint="default"/>
      </w:rPr>
    </w:lvl>
    <w:lvl w:ilvl="2" w:tplc="943E876A" w:tentative="1">
      <w:start w:val="1"/>
      <w:numFmt w:val="bullet"/>
      <w:lvlText w:val=""/>
      <w:lvlJc w:val="left"/>
      <w:pPr>
        <w:tabs>
          <w:tab w:val="num" w:pos="2160"/>
        </w:tabs>
        <w:ind w:left="2160" w:hanging="360"/>
      </w:pPr>
      <w:rPr>
        <w:rFonts w:ascii="Wingdings 2" w:hAnsi="Wingdings 2" w:hint="default"/>
      </w:rPr>
    </w:lvl>
    <w:lvl w:ilvl="3" w:tplc="526ED454" w:tentative="1">
      <w:start w:val="1"/>
      <w:numFmt w:val="bullet"/>
      <w:lvlText w:val=""/>
      <w:lvlJc w:val="left"/>
      <w:pPr>
        <w:tabs>
          <w:tab w:val="num" w:pos="2880"/>
        </w:tabs>
        <w:ind w:left="2880" w:hanging="360"/>
      </w:pPr>
      <w:rPr>
        <w:rFonts w:ascii="Wingdings 2" w:hAnsi="Wingdings 2" w:hint="default"/>
      </w:rPr>
    </w:lvl>
    <w:lvl w:ilvl="4" w:tplc="1C5C5106" w:tentative="1">
      <w:start w:val="1"/>
      <w:numFmt w:val="bullet"/>
      <w:lvlText w:val=""/>
      <w:lvlJc w:val="left"/>
      <w:pPr>
        <w:tabs>
          <w:tab w:val="num" w:pos="3600"/>
        </w:tabs>
        <w:ind w:left="3600" w:hanging="360"/>
      </w:pPr>
      <w:rPr>
        <w:rFonts w:ascii="Wingdings 2" w:hAnsi="Wingdings 2" w:hint="default"/>
      </w:rPr>
    </w:lvl>
    <w:lvl w:ilvl="5" w:tplc="E8C2F542" w:tentative="1">
      <w:start w:val="1"/>
      <w:numFmt w:val="bullet"/>
      <w:lvlText w:val=""/>
      <w:lvlJc w:val="left"/>
      <w:pPr>
        <w:tabs>
          <w:tab w:val="num" w:pos="4320"/>
        </w:tabs>
        <w:ind w:left="4320" w:hanging="360"/>
      </w:pPr>
      <w:rPr>
        <w:rFonts w:ascii="Wingdings 2" w:hAnsi="Wingdings 2" w:hint="default"/>
      </w:rPr>
    </w:lvl>
    <w:lvl w:ilvl="6" w:tplc="9E327176" w:tentative="1">
      <w:start w:val="1"/>
      <w:numFmt w:val="bullet"/>
      <w:lvlText w:val=""/>
      <w:lvlJc w:val="left"/>
      <w:pPr>
        <w:tabs>
          <w:tab w:val="num" w:pos="5040"/>
        </w:tabs>
        <w:ind w:left="5040" w:hanging="360"/>
      </w:pPr>
      <w:rPr>
        <w:rFonts w:ascii="Wingdings 2" w:hAnsi="Wingdings 2" w:hint="default"/>
      </w:rPr>
    </w:lvl>
    <w:lvl w:ilvl="7" w:tplc="2D36C8F6" w:tentative="1">
      <w:start w:val="1"/>
      <w:numFmt w:val="bullet"/>
      <w:lvlText w:val=""/>
      <w:lvlJc w:val="left"/>
      <w:pPr>
        <w:tabs>
          <w:tab w:val="num" w:pos="5760"/>
        </w:tabs>
        <w:ind w:left="5760" w:hanging="360"/>
      </w:pPr>
      <w:rPr>
        <w:rFonts w:ascii="Wingdings 2" w:hAnsi="Wingdings 2" w:hint="default"/>
      </w:rPr>
    </w:lvl>
    <w:lvl w:ilvl="8" w:tplc="1AFC7934" w:tentative="1">
      <w:start w:val="1"/>
      <w:numFmt w:val="bullet"/>
      <w:lvlText w:val=""/>
      <w:lvlJc w:val="left"/>
      <w:pPr>
        <w:tabs>
          <w:tab w:val="num" w:pos="6480"/>
        </w:tabs>
        <w:ind w:left="6480" w:hanging="360"/>
      </w:pPr>
      <w:rPr>
        <w:rFonts w:ascii="Wingdings 2" w:hAnsi="Wingdings 2"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E484D05"/>
    <w:multiLevelType w:val="hybridMultilevel"/>
    <w:tmpl w:val="E1AAD000"/>
    <w:lvl w:ilvl="0" w:tplc="1C96FC38">
      <w:start w:val="1"/>
      <w:numFmt w:val="bullet"/>
      <w:lvlText w:val=""/>
      <w:lvlJc w:val="left"/>
      <w:pPr>
        <w:tabs>
          <w:tab w:val="num" w:pos="720"/>
        </w:tabs>
        <w:ind w:left="720" w:hanging="360"/>
      </w:pPr>
      <w:rPr>
        <w:rFonts w:ascii="Wingdings 2" w:hAnsi="Wingdings 2" w:hint="default"/>
      </w:rPr>
    </w:lvl>
    <w:lvl w:ilvl="1" w:tplc="A3BCED0A" w:tentative="1">
      <w:start w:val="1"/>
      <w:numFmt w:val="bullet"/>
      <w:lvlText w:val=""/>
      <w:lvlJc w:val="left"/>
      <w:pPr>
        <w:tabs>
          <w:tab w:val="num" w:pos="1440"/>
        </w:tabs>
        <w:ind w:left="1440" w:hanging="360"/>
      </w:pPr>
      <w:rPr>
        <w:rFonts w:ascii="Wingdings 2" w:hAnsi="Wingdings 2" w:hint="default"/>
      </w:rPr>
    </w:lvl>
    <w:lvl w:ilvl="2" w:tplc="2A6264B6" w:tentative="1">
      <w:start w:val="1"/>
      <w:numFmt w:val="bullet"/>
      <w:lvlText w:val=""/>
      <w:lvlJc w:val="left"/>
      <w:pPr>
        <w:tabs>
          <w:tab w:val="num" w:pos="2160"/>
        </w:tabs>
        <w:ind w:left="2160" w:hanging="360"/>
      </w:pPr>
      <w:rPr>
        <w:rFonts w:ascii="Wingdings 2" w:hAnsi="Wingdings 2" w:hint="default"/>
      </w:rPr>
    </w:lvl>
    <w:lvl w:ilvl="3" w:tplc="1A347E94" w:tentative="1">
      <w:start w:val="1"/>
      <w:numFmt w:val="bullet"/>
      <w:lvlText w:val=""/>
      <w:lvlJc w:val="left"/>
      <w:pPr>
        <w:tabs>
          <w:tab w:val="num" w:pos="2880"/>
        </w:tabs>
        <w:ind w:left="2880" w:hanging="360"/>
      </w:pPr>
      <w:rPr>
        <w:rFonts w:ascii="Wingdings 2" w:hAnsi="Wingdings 2" w:hint="default"/>
      </w:rPr>
    </w:lvl>
    <w:lvl w:ilvl="4" w:tplc="8DB6FF4C" w:tentative="1">
      <w:start w:val="1"/>
      <w:numFmt w:val="bullet"/>
      <w:lvlText w:val=""/>
      <w:lvlJc w:val="left"/>
      <w:pPr>
        <w:tabs>
          <w:tab w:val="num" w:pos="3600"/>
        </w:tabs>
        <w:ind w:left="3600" w:hanging="360"/>
      </w:pPr>
      <w:rPr>
        <w:rFonts w:ascii="Wingdings 2" w:hAnsi="Wingdings 2" w:hint="default"/>
      </w:rPr>
    </w:lvl>
    <w:lvl w:ilvl="5" w:tplc="B78CF5C0" w:tentative="1">
      <w:start w:val="1"/>
      <w:numFmt w:val="bullet"/>
      <w:lvlText w:val=""/>
      <w:lvlJc w:val="left"/>
      <w:pPr>
        <w:tabs>
          <w:tab w:val="num" w:pos="4320"/>
        </w:tabs>
        <w:ind w:left="4320" w:hanging="360"/>
      </w:pPr>
      <w:rPr>
        <w:rFonts w:ascii="Wingdings 2" w:hAnsi="Wingdings 2" w:hint="default"/>
      </w:rPr>
    </w:lvl>
    <w:lvl w:ilvl="6" w:tplc="836A00EE" w:tentative="1">
      <w:start w:val="1"/>
      <w:numFmt w:val="bullet"/>
      <w:lvlText w:val=""/>
      <w:lvlJc w:val="left"/>
      <w:pPr>
        <w:tabs>
          <w:tab w:val="num" w:pos="5040"/>
        </w:tabs>
        <w:ind w:left="5040" w:hanging="360"/>
      </w:pPr>
      <w:rPr>
        <w:rFonts w:ascii="Wingdings 2" w:hAnsi="Wingdings 2" w:hint="default"/>
      </w:rPr>
    </w:lvl>
    <w:lvl w:ilvl="7" w:tplc="FC9EC39C" w:tentative="1">
      <w:start w:val="1"/>
      <w:numFmt w:val="bullet"/>
      <w:lvlText w:val=""/>
      <w:lvlJc w:val="left"/>
      <w:pPr>
        <w:tabs>
          <w:tab w:val="num" w:pos="5760"/>
        </w:tabs>
        <w:ind w:left="5760" w:hanging="360"/>
      </w:pPr>
      <w:rPr>
        <w:rFonts w:ascii="Wingdings 2" w:hAnsi="Wingdings 2" w:hint="default"/>
      </w:rPr>
    </w:lvl>
    <w:lvl w:ilvl="8" w:tplc="D13C75AE" w:tentative="1">
      <w:start w:val="1"/>
      <w:numFmt w:val="bullet"/>
      <w:lvlText w:val=""/>
      <w:lvlJc w:val="left"/>
      <w:pPr>
        <w:tabs>
          <w:tab w:val="num" w:pos="6480"/>
        </w:tabs>
        <w:ind w:left="6480" w:hanging="360"/>
      </w:pPr>
      <w:rPr>
        <w:rFonts w:ascii="Wingdings 2" w:hAnsi="Wingdings 2"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9D2C27"/>
    <w:multiLevelType w:val="hybridMultilevel"/>
    <w:tmpl w:val="2454F13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64B1C94"/>
    <w:multiLevelType w:val="hybridMultilevel"/>
    <w:tmpl w:val="36D268F4"/>
    <w:lvl w:ilvl="0" w:tplc="DC568244">
      <w:start w:val="1"/>
      <w:numFmt w:val="bullet"/>
      <w:lvlText w:val=""/>
      <w:lvlJc w:val="left"/>
      <w:pPr>
        <w:tabs>
          <w:tab w:val="num" w:pos="720"/>
        </w:tabs>
        <w:ind w:left="720" w:hanging="360"/>
      </w:pPr>
      <w:rPr>
        <w:rFonts w:ascii="Wingdings 2" w:hAnsi="Wingdings 2" w:hint="default"/>
      </w:rPr>
    </w:lvl>
    <w:lvl w:ilvl="1" w:tplc="E168E85E" w:tentative="1">
      <w:start w:val="1"/>
      <w:numFmt w:val="bullet"/>
      <w:lvlText w:val=""/>
      <w:lvlJc w:val="left"/>
      <w:pPr>
        <w:tabs>
          <w:tab w:val="num" w:pos="1440"/>
        </w:tabs>
        <w:ind w:left="1440" w:hanging="360"/>
      </w:pPr>
      <w:rPr>
        <w:rFonts w:ascii="Wingdings 2" w:hAnsi="Wingdings 2" w:hint="default"/>
      </w:rPr>
    </w:lvl>
    <w:lvl w:ilvl="2" w:tplc="04384FFA" w:tentative="1">
      <w:start w:val="1"/>
      <w:numFmt w:val="bullet"/>
      <w:lvlText w:val=""/>
      <w:lvlJc w:val="left"/>
      <w:pPr>
        <w:tabs>
          <w:tab w:val="num" w:pos="2160"/>
        </w:tabs>
        <w:ind w:left="2160" w:hanging="360"/>
      </w:pPr>
      <w:rPr>
        <w:rFonts w:ascii="Wingdings 2" w:hAnsi="Wingdings 2" w:hint="default"/>
      </w:rPr>
    </w:lvl>
    <w:lvl w:ilvl="3" w:tplc="B9FC9CF8" w:tentative="1">
      <w:start w:val="1"/>
      <w:numFmt w:val="bullet"/>
      <w:lvlText w:val=""/>
      <w:lvlJc w:val="left"/>
      <w:pPr>
        <w:tabs>
          <w:tab w:val="num" w:pos="2880"/>
        </w:tabs>
        <w:ind w:left="2880" w:hanging="360"/>
      </w:pPr>
      <w:rPr>
        <w:rFonts w:ascii="Wingdings 2" w:hAnsi="Wingdings 2" w:hint="default"/>
      </w:rPr>
    </w:lvl>
    <w:lvl w:ilvl="4" w:tplc="5E6E19E4" w:tentative="1">
      <w:start w:val="1"/>
      <w:numFmt w:val="bullet"/>
      <w:lvlText w:val=""/>
      <w:lvlJc w:val="left"/>
      <w:pPr>
        <w:tabs>
          <w:tab w:val="num" w:pos="3600"/>
        </w:tabs>
        <w:ind w:left="3600" w:hanging="360"/>
      </w:pPr>
      <w:rPr>
        <w:rFonts w:ascii="Wingdings 2" w:hAnsi="Wingdings 2" w:hint="default"/>
      </w:rPr>
    </w:lvl>
    <w:lvl w:ilvl="5" w:tplc="8D581030" w:tentative="1">
      <w:start w:val="1"/>
      <w:numFmt w:val="bullet"/>
      <w:lvlText w:val=""/>
      <w:lvlJc w:val="left"/>
      <w:pPr>
        <w:tabs>
          <w:tab w:val="num" w:pos="4320"/>
        </w:tabs>
        <w:ind w:left="4320" w:hanging="360"/>
      </w:pPr>
      <w:rPr>
        <w:rFonts w:ascii="Wingdings 2" w:hAnsi="Wingdings 2" w:hint="default"/>
      </w:rPr>
    </w:lvl>
    <w:lvl w:ilvl="6" w:tplc="850A3190" w:tentative="1">
      <w:start w:val="1"/>
      <w:numFmt w:val="bullet"/>
      <w:lvlText w:val=""/>
      <w:lvlJc w:val="left"/>
      <w:pPr>
        <w:tabs>
          <w:tab w:val="num" w:pos="5040"/>
        </w:tabs>
        <w:ind w:left="5040" w:hanging="360"/>
      </w:pPr>
      <w:rPr>
        <w:rFonts w:ascii="Wingdings 2" w:hAnsi="Wingdings 2" w:hint="default"/>
      </w:rPr>
    </w:lvl>
    <w:lvl w:ilvl="7" w:tplc="AC92FB20" w:tentative="1">
      <w:start w:val="1"/>
      <w:numFmt w:val="bullet"/>
      <w:lvlText w:val=""/>
      <w:lvlJc w:val="left"/>
      <w:pPr>
        <w:tabs>
          <w:tab w:val="num" w:pos="5760"/>
        </w:tabs>
        <w:ind w:left="5760" w:hanging="360"/>
      </w:pPr>
      <w:rPr>
        <w:rFonts w:ascii="Wingdings 2" w:hAnsi="Wingdings 2" w:hint="default"/>
      </w:rPr>
    </w:lvl>
    <w:lvl w:ilvl="8" w:tplc="A5F8929C" w:tentative="1">
      <w:start w:val="1"/>
      <w:numFmt w:val="bullet"/>
      <w:lvlText w:val=""/>
      <w:lvlJc w:val="left"/>
      <w:pPr>
        <w:tabs>
          <w:tab w:val="num" w:pos="6480"/>
        </w:tabs>
        <w:ind w:left="6480" w:hanging="360"/>
      </w:pPr>
      <w:rPr>
        <w:rFonts w:ascii="Wingdings 2" w:hAnsi="Wingdings 2"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D760AE6"/>
    <w:multiLevelType w:val="hybridMultilevel"/>
    <w:tmpl w:val="86DAC3E6"/>
    <w:lvl w:ilvl="0" w:tplc="0B2873BE">
      <w:start w:val="1"/>
      <w:numFmt w:val="bullet"/>
      <w:lvlText w:val=""/>
      <w:lvlJc w:val="left"/>
      <w:pPr>
        <w:tabs>
          <w:tab w:val="num" w:pos="720"/>
        </w:tabs>
        <w:ind w:left="720" w:hanging="360"/>
      </w:pPr>
      <w:rPr>
        <w:rFonts w:ascii="Wingdings 2" w:hAnsi="Wingdings 2" w:hint="default"/>
      </w:rPr>
    </w:lvl>
    <w:lvl w:ilvl="1" w:tplc="BDDE9EFA" w:tentative="1">
      <w:start w:val="1"/>
      <w:numFmt w:val="bullet"/>
      <w:lvlText w:val=""/>
      <w:lvlJc w:val="left"/>
      <w:pPr>
        <w:tabs>
          <w:tab w:val="num" w:pos="1440"/>
        </w:tabs>
        <w:ind w:left="1440" w:hanging="360"/>
      </w:pPr>
      <w:rPr>
        <w:rFonts w:ascii="Wingdings 2" w:hAnsi="Wingdings 2" w:hint="default"/>
      </w:rPr>
    </w:lvl>
    <w:lvl w:ilvl="2" w:tplc="74CAF8A2" w:tentative="1">
      <w:start w:val="1"/>
      <w:numFmt w:val="bullet"/>
      <w:lvlText w:val=""/>
      <w:lvlJc w:val="left"/>
      <w:pPr>
        <w:tabs>
          <w:tab w:val="num" w:pos="2160"/>
        </w:tabs>
        <w:ind w:left="2160" w:hanging="360"/>
      </w:pPr>
      <w:rPr>
        <w:rFonts w:ascii="Wingdings 2" w:hAnsi="Wingdings 2" w:hint="default"/>
      </w:rPr>
    </w:lvl>
    <w:lvl w:ilvl="3" w:tplc="E69443E2" w:tentative="1">
      <w:start w:val="1"/>
      <w:numFmt w:val="bullet"/>
      <w:lvlText w:val=""/>
      <w:lvlJc w:val="left"/>
      <w:pPr>
        <w:tabs>
          <w:tab w:val="num" w:pos="2880"/>
        </w:tabs>
        <w:ind w:left="2880" w:hanging="360"/>
      </w:pPr>
      <w:rPr>
        <w:rFonts w:ascii="Wingdings 2" w:hAnsi="Wingdings 2" w:hint="default"/>
      </w:rPr>
    </w:lvl>
    <w:lvl w:ilvl="4" w:tplc="83AE1EBC" w:tentative="1">
      <w:start w:val="1"/>
      <w:numFmt w:val="bullet"/>
      <w:lvlText w:val=""/>
      <w:lvlJc w:val="left"/>
      <w:pPr>
        <w:tabs>
          <w:tab w:val="num" w:pos="3600"/>
        </w:tabs>
        <w:ind w:left="3600" w:hanging="360"/>
      </w:pPr>
      <w:rPr>
        <w:rFonts w:ascii="Wingdings 2" w:hAnsi="Wingdings 2" w:hint="default"/>
      </w:rPr>
    </w:lvl>
    <w:lvl w:ilvl="5" w:tplc="68420DB2" w:tentative="1">
      <w:start w:val="1"/>
      <w:numFmt w:val="bullet"/>
      <w:lvlText w:val=""/>
      <w:lvlJc w:val="left"/>
      <w:pPr>
        <w:tabs>
          <w:tab w:val="num" w:pos="4320"/>
        </w:tabs>
        <w:ind w:left="4320" w:hanging="360"/>
      </w:pPr>
      <w:rPr>
        <w:rFonts w:ascii="Wingdings 2" w:hAnsi="Wingdings 2" w:hint="default"/>
      </w:rPr>
    </w:lvl>
    <w:lvl w:ilvl="6" w:tplc="C3DC8012" w:tentative="1">
      <w:start w:val="1"/>
      <w:numFmt w:val="bullet"/>
      <w:lvlText w:val=""/>
      <w:lvlJc w:val="left"/>
      <w:pPr>
        <w:tabs>
          <w:tab w:val="num" w:pos="5040"/>
        </w:tabs>
        <w:ind w:left="5040" w:hanging="360"/>
      </w:pPr>
      <w:rPr>
        <w:rFonts w:ascii="Wingdings 2" w:hAnsi="Wingdings 2" w:hint="default"/>
      </w:rPr>
    </w:lvl>
    <w:lvl w:ilvl="7" w:tplc="CB5CFF06" w:tentative="1">
      <w:start w:val="1"/>
      <w:numFmt w:val="bullet"/>
      <w:lvlText w:val=""/>
      <w:lvlJc w:val="left"/>
      <w:pPr>
        <w:tabs>
          <w:tab w:val="num" w:pos="5760"/>
        </w:tabs>
        <w:ind w:left="5760" w:hanging="360"/>
      </w:pPr>
      <w:rPr>
        <w:rFonts w:ascii="Wingdings 2" w:hAnsi="Wingdings 2" w:hint="default"/>
      </w:rPr>
    </w:lvl>
    <w:lvl w:ilvl="8" w:tplc="31340FCC"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6F67AB"/>
    <w:multiLevelType w:val="hybridMultilevel"/>
    <w:tmpl w:val="D16A818A"/>
    <w:lvl w:ilvl="0" w:tplc="1D0A884C">
      <w:start w:val="1"/>
      <w:numFmt w:val="bullet"/>
      <w:lvlText w:val=""/>
      <w:lvlJc w:val="left"/>
      <w:pPr>
        <w:tabs>
          <w:tab w:val="num" w:pos="720"/>
        </w:tabs>
        <w:ind w:left="720" w:hanging="360"/>
      </w:pPr>
      <w:rPr>
        <w:rFonts w:ascii="Wingdings 2" w:hAnsi="Wingdings 2" w:hint="default"/>
      </w:rPr>
    </w:lvl>
    <w:lvl w:ilvl="1" w:tplc="3E164DBC" w:tentative="1">
      <w:start w:val="1"/>
      <w:numFmt w:val="bullet"/>
      <w:lvlText w:val=""/>
      <w:lvlJc w:val="left"/>
      <w:pPr>
        <w:tabs>
          <w:tab w:val="num" w:pos="1440"/>
        </w:tabs>
        <w:ind w:left="1440" w:hanging="360"/>
      </w:pPr>
      <w:rPr>
        <w:rFonts w:ascii="Wingdings 2" w:hAnsi="Wingdings 2" w:hint="default"/>
      </w:rPr>
    </w:lvl>
    <w:lvl w:ilvl="2" w:tplc="72C0ADFA" w:tentative="1">
      <w:start w:val="1"/>
      <w:numFmt w:val="bullet"/>
      <w:lvlText w:val=""/>
      <w:lvlJc w:val="left"/>
      <w:pPr>
        <w:tabs>
          <w:tab w:val="num" w:pos="2160"/>
        </w:tabs>
        <w:ind w:left="2160" w:hanging="360"/>
      </w:pPr>
      <w:rPr>
        <w:rFonts w:ascii="Wingdings 2" w:hAnsi="Wingdings 2" w:hint="default"/>
      </w:rPr>
    </w:lvl>
    <w:lvl w:ilvl="3" w:tplc="F83E20FA" w:tentative="1">
      <w:start w:val="1"/>
      <w:numFmt w:val="bullet"/>
      <w:lvlText w:val=""/>
      <w:lvlJc w:val="left"/>
      <w:pPr>
        <w:tabs>
          <w:tab w:val="num" w:pos="2880"/>
        </w:tabs>
        <w:ind w:left="2880" w:hanging="360"/>
      </w:pPr>
      <w:rPr>
        <w:rFonts w:ascii="Wingdings 2" w:hAnsi="Wingdings 2" w:hint="default"/>
      </w:rPr>
    </w:lvl>
    <w:lvl w:ilvl="4" w:tplc="64662C68" w:tentative="1">
      <w:start w:val="1"/>
      <w:numFmt w:val="bullet"/>
      <w:lvlText w:val=""/>
      <w:lvlJc w:val="left"/>
      <w:pPr>
        <w:tabs>
          <w:tab w:val="num" w:pos="3600"/>
        </w:tabs>
        <w:ind w:left="3600" w:hanging="360"/>
      </w:pPr>
      <w:rPr>
        <w:rFonts w:ascii="Wingdings 2" w:hAnsi="Wingdings 2" w:hint="default"/>
      </w:rPr>
    </w:lvl>
    <w:lvl w:ilvl="5" w:tplc="13C4B6A0" w:tentative="1">
      <w:start w:val="1"/>
      <w:numFmt w:val="bullet"/>
      <w:lvlText w:val=""/>
      <w:lvlJc w:val="left"/>
      <w:pPr>
        <w:tabs>
          <w:tab w:val="num" w:pos="4320"/>
        </w:tabs>
        <w:ind w:left="4320" w:hanging="360"/>
      </w:pPr>
      <w:rPr>
        <w:rFonts w:ascii="Wingdings 2" w:hAnsi="Wingdings 2" w:hint="default"/>
      </w:rPr>
    </w:lvl>
    <w:lvl w:ilvl="6" w:tplc="BE1A67D2" w:tentative="1">
      <w:start w:val="1"/>
      <w:numFmt w:val="bullet"/>
      <w:lvlText w:val=""/>
      <w:lvlJc w:val="left"/>
      <w:pPr>
        <w:tabs>
          <w:tab w:val="num" w:pos="5040"/>
        </w:tabs>
        <w:ind w:left="5040" w:hanging="360"/>
      </w:pPr>
      <w:rPr>
        <w:rFonts w:ascii="Wingdings 2" w:hAnsi="Wingdings 2" w:hint="default"/>
      </w:rPr>
    </w:lvl>
    <w:lvl w:ilvl="7" w:tplc="7B82BC98" w:tentative="1">
      <w:start w:val="1"/>
      <w:numFmt w:val="bullet"/>
      <w:lvlText w:val=""/>
      <w:lvlJc w:val="left"/>
      <w:pPr>
        <w:tabs>
          <w:tab w:val="num" w:pos="5760"/>
        </w:tabs>
        <w:ind w:left="5760" w:hanging="360"/>
      </w:pPr>
      <w:rPr>
        <w:rFonts w:ascii="Wingdings 2" w:hAnsi="Wingdings 2" w:hint="default"/>
      </w:rPr>
    </w:lvl>
    <w:lvl w:ilvl="8" w:tplc="96F6C9F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1"/>
  </w:num>
  <w:num w:numId="7">
    <w:abstractNumId w:val="20"/>
  </w:num>
  <w:num w:numId="8">
    <w:abstractNumId w:val="4"/>
  </w:num>
  <w:num w:numId="9">
    <w:abstractNumId w:val="5"/>
  </w:num>
  <w:num w:numId="10">
    <w:abstractNumId w:val="1"/>
  </w:num>
  <w:num w:numId="11">
    <w:abstractNumId w:val="9"/>
  </w:num>
  <w:num w:numId="12">
    <w:abstractNumId w:val="35"/>
  </w:num>
  <w:num w:numId="13">
    <w:abstractNumId w:val="41"/>
  </w:num>
  <w:num w:numId="14">
    <w:abstractNumId w:val="45"/>
  </w:num>
  <w:num w:numId="15">
    <w:abstractNumId w:val="37"/>
  </w:num>
  <w:num w:numId="16">
    <w:abstractNumId w:val="34"/>
  </w:num>
  <w:num w:numId="17">
    <w:abstractNumId w:val="7"/>
  </w:num>
  <w:num w:numId="18">
    <w:abstractNumId w:val="36"/>
  </w:num>
  <w:num w:numId="19">
    <w:abstractNumId w:val="27"/>
  </w:num>
  <w:num w:numId="20">
    <w:abstractNumId w:val="6"/>
  </w:num>
  <w:num w:numId="21">
    <w:abstractNumId w:val="46"/>
  </w:num>
  <w:num w:numId="22">
    <w:abstractNumId w:val="19"/>
  </w:num>
  <w:num w:numId="23">
    <w:abstractNumId w:val="42"/>
  </w:num>
  <w:num w:numId="24">
    <w:abstractNumId w:val="44"/>
  </w:num>
  <w:num w:numId="25">
    <w:abstractNumId w:val="32"/>
  </w:num>
  <w:num w:numId="26">
    <w:abstractNumId w:val="18"/>
  </w:num>
  <w:num w:numId="27">
    <w:abstractNumId w:val="3"/>
  </w:num>
  <w:num w:numId="28">
    <w:abstractNumId w:val="10"/>
  </w:num>
  <w:num w:numId="29">
    <w:abstractNumId w:val="33"/>
  </w:num>
  <w:num w:numId="30">
    <w:abstractNumId w:val="39"/>
  </w:num>
  <w:num w:numId="31">
    <w:abstractNumId w:val="30"/>
  </w:num>
  <w:num w:numId="32">
    <w:abstractNumId w:val="2"/>
  </w:num>
  <w:num w:numId="33">
    <w:abstractNumId w:val="29"/>
  </w:num>
  <w:num w:numId="34">
    <w:abstractNumId w:val="24"/>
  </w:num>
  <w:num w:numId="35">
    <w:abstractNumId w:val="13"/>
  </w:num>
  <w:num w:numId="36">
    <w:abstractNumId w:val="11"/>
  </w:num>
  <w:num w:numId="37">
    <w:abstractNumId w:val="8"/>
  </w:num>
  <w:num w:numId="38">
    <w:abstractNumId w:val="38"/>
  </w:num>
  <w:num w:numId="39">
    <w:abstractNumId w:val="17"/>
  </w:num>
  <w:num w:numId="40">
    <w:abstractNumId w:val="12"/>
  </w:num>
  <w:num w:numId="41">
    <w:abstractNumId w:val="25"/>
  </w:num>
  <w:num w:numId="42">
    <w:abstractNumId w:val="16"/>
  </w:num>
  <w:num w:numId="43">
    <w:abstractNumId w:val="23"/>
  </w:num>
  <w:num w:numId="44">
    <w:abstractNumId w:val="43"/>
  </w:num>
  <w:num w:numId="45">
    <w:abstractNumId w:val="14"/>
  </w:num>
  <w:num w:numId="46">
    <w:abstractNumId w:val="22"/>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A74DD"/>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158"/>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2447"/>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50B1"/>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628"/>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3DB9"/>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0125345">
      <w:bodyDiv w:val="1"/>
      <w:marLeft w:val="0"/>
      <w:marRight w:val="0"/>
      <w:marTop w:val="0"/>
      <w:marBottom w:val="0"/>
      <w:divBdr>
        <w:top w:val="none" w:sz="0" w:space="0" w:color="auto"/>
        <w:left w:val="none" w:sz="0" w:space="0" w:color="auto"/>
        <w:bottom w:val="none" w:sz="0" w:space="0" w:color="auto"/>
        <w:right w:val="none" w:sz="0" w:space="0" w:color="auto"/>
      </w:divBdr>
      <w:divsChild>
        <w:div w:id="562638508">
          <w:marLeft w:val="0"/>
          <w:marRight w:val="0"/>
          <w:marTop w:val="0"/>
          <w:marBottom w:val="0"/>
          <w:divBdr>
            <w:top w:val="none" w:sz="0" w:space="0" w:color="auto"/>
            <w:left w:val="none" w:sz="0" w:space="0" w:color="auto"/>
            <w:bottom w:val="none" w:sz="0" w:space="0" w:color="auto"/>
            <w:right w:val="none" w:sz="0" w:space="0" w:color="auto"/>
          </w:divBdr>
          <w:divsChild>
            <w:div w:id="198864214">
              <w:marLeft w:val="0"/>
              <w:marRight w:val="0"/>
              <w:marTop w:val="0"/>
              <w:marBottom w:val="0"/>
              <w:divBdr>
                <w:top w:val="none" w:sz="0" w:space="0" w:color="auto"/>
                <w:left w:val="none" w:sz="0" w:space="0" w:color="auto"/>
                <w:bottom w:val="none" w:sz="0" w:space="0" w:color="auto"/>
                <w:right w:val="none" w:sz="0" w:space="0" w:color="auto"/>
              </w:divBdr>
              <w:divsChild>
                <w:div w:id="464128454">
                  <w:marLeft w:val="0"/>
                  <w:marRight w:val="0"/>
                  <w:marTop w:val="0"/>
                  <w:marBottom w:val="0"/>
                  <w:divBdr>
                    <w:top w:val="none" w:sz="0" w:space="0" w:color="auto"/>
                    <w:left w:val="none" w:sz="0" w:space="0" w:color="auto"/>
                    <w:bottom w:val="none" w:sz="0" w:space="0" w:color="auto"/>
                    <w:right w:val="none" w:sz="0" w:space="0" w:color="auto"/>
                  </w:divBdr>
                  <w:divsChild>
                    <w:div w:id="165526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1088048">
      <w:bodyDiv w:val="1"/>
      <w:marLeft w:val="0"/>
      <w:marRight w:val="0"/>
      <w:marTop w:val="0"/>
      <w:marBottom w:val="0"/>
      <w:divBdr>
        <w:top w:val="none" w:sz="0" w:space="0" w:color="auto"/>
        <w:left w:val="none" w:sz="0" w:space="0" w:color="auto"/>
        <w:bottom w:val="none" w:sz="0" w:space="0" w:color="auto"/>
        <w:right w:val="none" w:sz="0" w:space="0" w:color="auto"/>
      </w:divBdr>
      <w:divsChild>
        <w:div w:id="2022312755">
          <w:marLeft w:val="576"/>
          <w:marRight w:val="0"/>
          <w:marTop w:val="120"/>
          <w:marBottom w:val="0"/>
          <w:divBdr>
            <w:top w:val="none" w:sz="0" w:space="0" w:color="auto"/>
            <w:left w:val="none" w:sz="0" w:space="0" w:color="auto"/>
            <w:bottom w:val="none" w:sz="0" w:space="0" w:color="auto"/>
            <w:right w:val="none" w:sz="0" w:space="0" w:color="auto"/>
          </w:divBdr>
        </w:div>
        <w:div w:id="890312606">
          <w:marLeft w:val="576"/>
          <w:marRight w:val="0"/>
          <w:marTop w:val="120"/>
          <w:marBottom w:val="0"/>
          <w:divBdr>
            <w:top w:val="none" w:sz="0" w:space="0" w:color="auto"/>
            <w:left w:val="none" w:sz="0" w:space="0" w:color="auto"/>
            <w:bottom w:val="none" w:sz="0" w:space="0" w:color="auto"/>
            <w:right w:val="none" w:sz="0" w:space="0" w:color="auto"/>
          </w:divBdr>
        </w:div>
        <w:div w:id="452746694">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0788497">
      <w:bodyDiv w:val="1"/>
      <w:marLeft w:val="0"/>
      <w:marRight w:val="0"/>
      <w:marTop w:val="0"/>
      <w:marBottom w:val="0"/>
      <w:divBdr>
        <w:top w:val="none" w:sz="0" w:space="0" w:color="auto"/>
        <w:left w:val="none" w:sz="0" w:space="0" w:color="auto"/>
        <w:bottom w:val="none" w:sz="0" w:space="0" w:color="auto"/>
        <w:right w:val="none" w:sz="0" w:space="0" w:color="auto"/>
      </w:divBdr>
      <w:divsChild>
        <w:div w:id="2075736352">
          <w:marLeft w:val="576"/>
          <w:marRight w:val="0"/>
          <w:marTop w:val="120"/>
          <w:marBottom w:val="0"/>
          <w:divBdr>
            <w:top w:val="none" w:sz="0" w:space="0" w:color="auto"/>
            <w:left w:val="none" w:sz="0" w:space="0" w:color="auto"/>
            <w:bottom w:val="none" w:sz="0" w:space="0" w:color="auto"/>
            <w:right w:val="none" w:sz="0" w:space="0" w:color="auto"/>
          </w:divBdr>
        </w:div>
        <w:div w:id="542988282">
          <w:marLeft w:val="576"/>
          <w:marRight w:val="0"/>
          <w:marTop w:val="120"/>
          <w:marBottom w:val="0"/>
          <w:divBdr>
            <w:top w:val="none" w:sz="0" w:space="0" w:color="auto"/>
            <w:left w:val="none" w:sz="0" w:space="0" w:color="auto"/>
            <w:bottom w:val="none" w:sz="0" w:space="0" w:color="auto"/>
            <w:right w:val="none" w:sz="0" w:space="0" w:color="auto"/>
          </w:divBdr>
        </w:div>
        <w:div w:id="841317518">
          <w:marLeft w:val="576"/>
          <w:marRight w:val="0"/>
          <w:marTop w:val="120"/>
          <w:marBottom w:val="0"/>
          <w:divBdr>
            <w:top w:val="none" w:sz="0" w:space="0" w:color="auto"/>
            <w:left w:val="none" w:sz="0" w:space="0" w:color="auto"/>
            <w:bottom w:val="none" w:sz="0" w:space="0" w:color="auto"/>
            <w:right w:val="none" w:sz="0" w:space="0" w:color="auto"/>
          </w:divBdr>
        </w:div>
        <w:div w:id="1879779473">
          <w:marLeft w:val="576"/>
          <w:marRight w:val="0"/>
          <w:marTop w:val="120"/>
          <w:marBottom w:val="0"/>
          <w:divBdr>
            <w:top w:val="none" w:sz="0" w:space="0" w:color="auto"/>
            <w:left w:val="none" w:sz="0" w:space="0" w:color="auto"/>
            <w:bottom w:val="none" w:sz="0" w:space="0" w:color="auto"/>
            <w:right w:val="none" w:sz="0" w:space="0" w:color="auto"/>
          </w:divBdr>
        </w:div>
        <w:div w:id="157693190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0958617">
      <w:bodyDiv w:val="1"/>
      <w:marLeft w:val="0"/>
      <w:marRight w:val="0"/>
      <w:marTop w:val="0"/>
      <w:marBottom w:val="0"/>
      <w:divBdr>
        <w:top w:val="none" w:sz="0" w:space="0" w:color="auto"/>
        <w:left w:val="none" w:sz="0" w:space="0" w:color="auto"/>
        <w:bottom w:val="none" w:sz="0" w:space="0" w:color="auto"/>
        <w:right w:val="none" w:sz="0" w:space="0" w:color="auto"/>
      </w:divBdr>
      <w:divsChild>
        <w:div w:id="1750036567">
          <w:marLeft w:val="576"/>
          <w:marRight w:val="0"/>
          <w:marTop w:val="120"/>
          <w:marBottom w:val="0"/>
          <w:divBdr>
            <w:top w:val="none" w:sz="0" w:space="0" w:color="auto"/>
            <w:left w:val="none" w:sz="0" w:space="0" w:color="auto"/>
            <w:bottom w:val="none" w:sz="0" w:space="0" w:color="auto"/>
            <w:right w:val="none" w:sz="0" w:space="0" w:color="auto"/>
          </w:divBdr>
        </w:div>
        <w:div w:id="1723481587">
          <w:marLeft w:val="576"/>
          <w:marRight w:val="0"/>
          <w:marTop w:val="120"/>
          <w:marBottom w:val="0"/>
          <w:divBdr>
            <w:top w:val="none" w:sz="0" w:space="0" w:color="auto"/>
            <w:left w:val="none" w:sz="0" w:space="0" w:color="auto"/>
            <w:bottom w:val="none" w:sz="0" w:space="0" w:color="auto"/>
            <w:right w:val="none" w:sz="0" w:space="0" w:color="auto"/>
          </w:divBdr>
        </w:div>
        <w:div w:id="944266969">
          <w:marLeft w:val="576"/>
          <w:marRight w:val="0"/>
          <w:marTop w:val="120"/>
          <w:marBottom w:val="0"/>
          <w:divBdr>
            <w:top w:val="none" w:sz="0" w:space="0" w:color="auto"/>
            <w:left w:val="none" w:sz="0" w:space="0" w:color="auto"/>
            <w:bottom w:val="none" w:sz="0" w:space="0" w:color="auto"/>
            <w:right w:val="none" w:sz="0" w:space="0" w:color="auto"/>
          </w:divBdr>
        </w:div>
        <w:div w:id="1100492935">
          <w:marLeft w:val="576"/>
          <w:marRight w:val="0"/>
          <w:marTop w:val="12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7494394">
      <w:bodyDiv w:val="1"/>
      <w:marLeft w:val="0"/>
      <w:marRight w:val="0"/>
      <w:marTop w:val="0"/>
      <w:marBottom w:val="0"/>
      <w:divBdr>
        <w:top w:val="none" w:sz="0" w:space="0" w:color="auto"/>
        <w:left w:val="none" w:sz="0" w:space="0" w:color="auto"/>
        <w:bottom w:val="none" w:sz="0" w:space="0" w:color="auto"/>
        <w:right w:val="none" w:sz="0" w:space="0" w:color="auto"/>
      </w:divBdr>
      <w:divsChild>
        <w:div w:id="1202783212">
          <w:marLeft w:val="576"/>
          <w:marRight w:val="0"/>
          <w:marTop w:val="120"/>
          <w:marBottom w:val="0"/>
          <w:divBdr>
            <w:top w:val="none" w:sz="0" w:space="0" w:color="auto"/>
            <w:left w:val="none" w:sz="0" w:space="0" w:color="auto"/>
            <w:bottom w:val="none" w:sz="0" w:space="0" w:color="auto"/>
            <w:right w:val="none" w:sz="0" w:space="0" w:color="auto"/>
          </w:divBdr>
        </w:div>
        <w:div w:id="1838617362">
          <w:marLeft w:val="576"/>
          <w:marRight w:val="0"/>
          <w:marTop w:val="120"/>
          <w:marBottom w:val="0"/>
          <w:divBdr>
            <w:top w:val="none" w:sz="0" w:space="0" w:color="auto"/>
            <w:left w:val="none" w:sz="0" w:space="0" w:color="auto"/>
            <w:bottom w:val="none" w:sz="0" w:space="0" w:color="auto"/>
            <w:right w:val="none" w:sz="0" w:space="0" w:color="auto"/>
          </w:divBdr>
        </w:div>
        <w:div w:id="514852538">
          <w:marLeft w:val="576"/>
          <w:marRight w:val="0"/>
          <w:marTop w:val="120"/>
          <w:marBottom w:val="0"/>
          <w:divBdr>
            <w:top w:val="none" w:sz="0" w:space="0" w:color="auto"/>
            <w:left w:val="none" w:sz="0" w:space="0" w:color="auto"/>
            <w:bottom w:val="none" w:sz="0" w:space="0" w:color="auto"/>
            <w:right w:val="none" w:sz="0" w:space="0" w:color="auto"/>
          </w:divBdr>
        </w:div>
        <w:div w:id="405231327">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32679751">
      <w:bodyDiv w:val="1"/>
      <w:marLeft w:val="0"/>
      <w:marRight w:val="0"/>
      <w:marTop w:val="0"/>
      <w:marBottom w:val="0"/>
      <w:divBdr>
        <w:top w:val="none" w:sz="0" w:space="0" w:color="auto"/>
        <w:left w:val="none" w:sz="0" w:space="0" w:color="auto"/>
        <w:bottom w:val="none" w:sz="0" w:space="0" w:color="auto"/>
        <w:right w:val="none" w:sz="0" w:space="0" w:color="auto"/>
      </w:divBdr>
      <w:divsChild>
        <w:div w:id="766390459">
          <w:marLeft w:val="576"/>
          <w:marRight w:val="0"/>
          <w:marTop w:val="120"/>
          <w:marBottom w:val="0"/>
          <w:divBdr>
            <w:top w:val="none" w:sz="0" w:space="0" w:color="auto"/>
            <w:left w:val="none" w:sz="0" w:space="0" w:color="auto"/>
            <w:bottom w:val="none" w:sz="0" w:space="0" w:color="auto"/>
            <w:right w:val="none" w:sz="0" w:space="0" w:color="auto"/>
          </w:divBdr>
        </w:div>
        <w:div w:id="382405608">
          <w:marLeft w:val="576"/>
          <w:marRight w:val="0"/>
          <w:marTop w:val="120"/>
          <w:marBottom w:val="0"/>
          <w:divBdr>
            <w:top w:val="none" w:sz="0" w:space="0" w:color="auto"/>
            <w:left w:val="none" w:sz="0" w:space="0" w:color="auto"/>
            <w:bottom w:val="none" w:sz="0" w:space="0" w:color="auto"/>
            <w:right w:val="none" w:sz="0" w:space="0" w:color="auto"/>
          </w:divBdr>
        </w:div>
        <w:div w:id="1172646243">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7388694">
      <w:bodyDiv w:val="1"/>
      <w:marLeft w:val="0"/>
      <w:marRight w:val="0"/>
      <w:marTop w:val="0"/>
      <w:marBottom w:val="0"/>
      <w:divBdr>
        <w:top w:val="none" w:sz="0" w:space="0" w:color="auto"/>
        <w:left w:val="none" w:sz="0" w:space="0" w:color="auto"/>
        <w:bottom w:val="none" w:sz="0" w:space="0" w:color="auto"/>
        <w:right w:val="none" w:sz="0" w:space="0" w:color="auto"/>
      </w:divBdr>
      <w:divsChild>
        <w:div w:id="343478017">
          <w:marLeft w:val="576"/>
          <w:marRight w:val="0"/>
          <w:marTop w:val="120"/>
          <w:marBottom w:val="0"/>
          <w:divBdr>
            <w:top w:val="none" w:sz="0" w:space="0" w:color="auto"/>
            <w:left w:val="none" w:sz="0" w:space="0" w:color="auto"/>
            <w:bottom w:val="none" w:sz="0" w:space="0" w:color="auto"/>
            <w:right w:val="none" w:sz="0" w:space="0" w:color="auto"/>
          </w:divBdr>
        </w:div>
        <w:div w:id="343098234">
          <w:marLeft w:val="576"/>
          <w:marRight w:val="0"/>
          <w:marTop w:val="120"/>
          <w:marBottom w:val="0"/>
          <w:divBdr>
            <w:top w:val="none" w:sz="0" w:space="0" w:color="auto"/>
            <w:left w:val="none" w:sz="0" w:space="0" w:color="auto"/>
            <w:bottom w:val="none" w:sz="0" w:space="0" w:color="auto"/>
            <w:right w:val="none" w:sz="0" w:space="0" w:color="auto"/>
          </w:divBdr>
        </w:div>
        <w:div w:id="128734986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0667246">
      <w:bodyDiv w:val="1"/>
      <w:marLeft w:val="0"/>
      <w:marRight w:val="0"/>
      <w:marTop w:val="0"/>
      <w:marBottom w:val="0"/>
      <w:divBdr>
        <w:top w:val="none" w:sz="0" w:space="0" w:color="auto"/>
        <w:left w:val="none" w:sz="0" w:space="0" w:color="auto"/>
        <w:bottom w:val="none" w:sz="0" w:space="0" w:color="auto"/>
        <w:right w:val="none" w:sz="0" w:space="0" w:color="auto"/>
      </w:divBdr>
      <w:divsChild>
        <w:div w:id="231282158">
          <w:marLeft w:val="576"/>
          <w:marRight w:val="0"/>
          <w:marTop w:val="120"/>
          <w:marBottom w:val="0"/>
          <w:divBdr>
            <w:top w:val="none" w:sz="0" w:space="0" w:color="auto"/>
            <w:left w:val="none" w:sz="0" w:space="0" w:color="auto"/>
            <w:bottom w:val="none" w:sz="0" w:space="0" w:color="auto"/>
            <w:right w:val="none" w:sz="0" w:space="0" w:color="auto"/>
          </w:divBdr>
        </w:div>
        <w:div w:id="1537818219">
          <w:marLeft w:val="576"/>
          <w:marRight w:val="0"/>
          <w:marTop w:val="120"/>
          <w:marBottom w:val="0"/>
          <w:divBdr>
            <w:top w:val="none" w:sz="0" w:space="0" w:color="auto"/>
            <w:left w:val="none" w:sz="0" w:space="0" w:color="auto"/>
            <w:bottom w:val="none" w:sz="0" w:space="0" w:color="auto"/>
            <w:right w:val="none" w:sz="0" w:space="0" w:color="auto"/>
          </w:divBdr>
        </w:div>
        <w:div w:id="706300947">
          <w:marLeft w:val="576"/>
          <w:marRight w:val="0"/>
          <w:marTop w:val="120"/>
          <w:marBottom w:val="0"/>
          <w:divBdr>
            <w:top w:val="none" w:sz="0" w:space="0" w:color="auto"/>
            <w:left w:val="none" w:sz="0" w:space="0" w:color="auto"/>
            <w:bottom w:val="none" w:sz="0" w:space="0" w:color="auto"/>
            <w:right w:val="none" w:sz="0" w:space="0" w:color="auto"/>
          </w:divBdr>
        </w:div>
        <w:div w:id="290938006">
          <w:marLeft w:val="576"/>
          <w:marRight w:val="0"/>
          <w:marTop w:val="120"/>
          <w:marBottom w:val="0"/>
          <w:divBdr>
            <w:top w:val="none" w:sz="0" w:space="0" w:color="auto"/>
            <w:left w:val="none" w:sz="0" w:space="0" w:color="auto"/>
            <w:bottom w:val="none" w:sz="0" w:space="0" w:color="auto"/>
            <w:right w:val="none" w:sz="0" w:space="0" w:color="auto"/>
          </w:divBdr>
        </w:div>
        <w:div w:id="278680668">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14</Pages>
  <Words>1827</Words>
  <Characters>10420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875</cp:revision>
  <dcterms:created xsi:type="dcterms:W3CDTF">2021-01-06T11:34:00Z</dcterms:created>
  <dcterms:modified xsi:type="dcterms:W3CDTF">2021-05-28T13:24:00Z</dcterms:modified>
</cp:coreProperties>
</file>