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A4F2C" w:rsidRDefault="004A4F2C" w:rsidP="004A4F2C">
      <w:pPr>
        <w:spacing w:line="360" w:lineRule="auto"/>
        <w:jc w:val="center"/>
        <w:rPr>
          <w:rFonts w:ascii="Times New Roman" w:hAnsi="Times New Roman" w:cs="Times New Roman"/>
          <w:b/>
          <w:sz w:val="48"/>
          <w:szCs w:val="48"/>
        </w:rPr>
      </w:pPr>
      <w:r w:rsidRPr="004A4F2C">
        <w:rPr>
          <w:rFonts w:ascii="Times New Roman" w:hAnsi="Times New Roman" w:cs="Times New Roman"/>
          <w:b/>
          <w:sz w:val="48"/>
          <w:szCs w:val="48"/>
        </w:rPr>
        <w:t>Highly-Efficient Fully-integrated Multi-Voltage-Domain Power Management with Enhanced PSR and Low Cross Regulation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42D53" w:rsidRDefault="00A42D5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A2BCA" w:rsidRDefault="001A2BCA" w:rsidP="001A2BCA">
      <w:pPr>
        <w:spacing w:line="360" w:lineRule="auto"/>
        <w:jc w:val="both"/>
        <w:rPr>
          <w:rFonts w:ascii="Times New Roman" w:hAnsi="Times New Roman" w:cs="Times New Roman"/>
          <w:bCs/>
          <w:sz w:val="32"/>
          <w:szCs w:val="32"/>
          <w:lang w:val="en-IN"/>
        </w:rPr>
      </w:pPr>
      <w:r w:rsidRPr="001A2BCA">
        <w:rPr>
          <w:rFonts w:ascii="Times New Roman" w:hAnsi="Times New Roman" w:cs="Times New Roman"/>
          <w:bCs/>
          <w:sz w:val="32"/>
          <w:szCs w:val="32"/>
          <w:lang w:val="en-IN"/>
        </w:rPr>
        <w:t xml:space="preserve">     Multi-voltage domains are urgently needed in modern SoCs, while existing solutions such as switched DC-DC converter, switched capacitor converter and low-dropout regulator (LDO) do not generate multi-voltage domains conveniently and inexpensively. This paper presents a highly-efficient fully-integrated power management strategy to provide the multiple voltage domains. The proposed architecture stacks a main LDO (MLDO) and several auxiliary push-pull regulators (APPRs) to generate multiple voltages for</w:t>
      </w:r>
      <w:r>
        <w:rPr>
          <w:rFonts w:ascii="Times New Roman" w:hAnsi="Times New Roman" w:cs="Times New Roman"/>
          <w:bCs/>
          <w:sz w:val="32"/>
          <w:szCs w:val="32"/>
          <w:lang w:val="en-IN"/>
        </w:rPr>
        <w:t xml:space="preserve"> various loads in one SoC chip.</w:t>
      </w:r>
      <w:r w:rsidRPr="001A2BCA">
        <w:rPr>
          <w:rFonts w:ascii="Times New Roman" w:hAnsi="Times New Roman" w:cs="Times New Roman"/>
          <w:bCs/>
          <w:sz w:val="32"/>
          <w:szCs w:val="32"/>
          <w:lang w:val="en-IN"/>
        </w:rPr>
        <w:t>The APPR regulates the load current by either absorbing or providing the additional current, which stabilizes the output voltages, increases the power supply rejection (PSR) and decreases the cross regulation (CR). A prototype with two output terminals is implemented with a standard 0.18-m CMOS technology. The whole system achieves high power efficiency of 96.5% and high PSR of - 62 dB and - 142 dB for upper and lower outputs, respectively. The chip area is 980 m 500 m and the total quiescent current is 239 A. In addition, all off-chip components are eliminated, which is favorable for monolithic realization. The reduced system cost and the reduced electromagnetic interference (EMI) also simplify the power management significantly, which helps to enable low-power and compact SoCs.</w:t>
      </w:r>
    </w:p>
    <w:p w:rsidR="001A2BCA" w:rsidRDefault="001A2BCA" w:rsidP="001A2BCA">
      <w:pPr>
        <w:spacing w:line="360" w:lineRule="auto"/>
        <w:jc w:val="both"/>
        <w:rPr>
          <w:rFonts w:ascii="Times New Roman" w:hAnsi="Times New Roman" w:cs="Times New Roman"/>
          <w:bCs/>
          <w:sz w:val="32"/>
          <w:szCs w:val="32"/>
          <w:lang w:val="en-IN"/>
        </w:rPr>
      </w:pPr>
    </w:p>
    <w:p w:rsidR="00491919" w:rsidRPr="001A2BCA" w:rsidRDefault="001C4FD2" w:rsidP="001A2BCA">
      <w:pPr>
        <w:spacing w:line="360" w:lineRule="auto"/>
        <w:jc w:val="both"/>
        <w:rPr>
          <w:rFonts w:ascii="Times New Roman" w:hAnsi="Times New Roman" w:cs="Times New Roman"/>
          <w:bCs/>
          <w:sz w:val="32"/>
          <w:szCs w:val="32"/>
          <w:lang w:val="en-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A2BCA" w:rsidRDefault="00AA182F" w:rsidP="001A2BC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2BCA">
        <w:rPr>
          <w:rFonts w:ascii="Times New Roman" w:hAnsi="Times New Roman" w:cs="Times New Roman"/>
          <w:sz w:val="32"/>
          <w:szCs w:val="32"/>
          <w:lang w:val="en-IN"/>
        </w:rPr>
        <w:t>At the same time, every power saving technique introduces an overhead in terms of area and design complexity, as well as an overhead in terms of energy and ti</w:t>
      </w:r>
      <w:r w:rsidRPr="001A2BCA">
        <w:rPr>
          <w:rFonts w:ascii="Times New Roman" w:hAnsi="Times New Roman" w:cs="Times New Roman"/>
          <w:sz w:val="32"/>
          <w:szCs w:val="32"/>
          <w:lang w:val="en-IN"/>
        </w:rPr>
        <w:t xml:space="preserve">me required to recover back into active mode. </w:t>
      </w:r>
    </w:p>
    <w:p w:rsidR="00000000" w:rsidRPr="001A2BCA" w:rsidRDefault="00AA182F" w:rsidP="001A2BC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2BCA">
        <w:rPr>
          <w:rFonts w:ascii="Times New Roman" w:hAnsi="Times New Roman" w:cs="Times New Roman"/>
          <w:sz w:val="32"/>
          <w:szCs w:val="32"/>
          <w:lang w:val="en-IN"/>
        </w:rPr>
        <w:t>Consequently, there exists a penalty for the implementation of a power saving technique, as well as a penalty for activating it.</w:t>
      </w:r>
    </w:p>
    <w:p w:rsidR="00000000" w:rsidRPr="001A2BCA" w:rsidRDefault="00AA182F" w:rsidP="001A2BC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2BCA">
        <w:rPr>
          <w:rFonts w:ascii="Times New Roman" w:hAnsi="Times New Roman" w:cs="Times New Roman"/>
          <w:sz w:val="32"/>
          <w:szCs w:val="32"/>
          <w:lang w:val="en-IN"/>
        </w:rPr>
        <w:t>There hence exists a penalty for the implementation of these techniques, as we</w:t>
      </w:r>
      <w:r w:rsidRPr="001A2BCA">
        <w:rPr>
          <w:rFonts w:ascii="Times New Roman" w:hAnsi="Times New Roman" w:cs="Times New Roman"/>
          <w:sz w:val="32"/>
          <w:szCs w:val="32"/>
          <w:lang w:val="en-IN"/>
        </w:rPr>
        <w:t xml:space="preserve">ll as a penalty for activating them. </w:t>
      </w:r>
    </w:p>
    <w:p w:rsidR="00000000" w:rsidRPr="001A2BCA" w:rsidRDefault="00AA182F" w:rsidP="001A2BCA">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1A2BCA">
        <w:rPr>
          <w:rFonts w:ascii="Times New Roman" w:hAnsi="Times New Roman" w:cs="Times New Roman"/>
          <w:sz w:val="32"/>
          <w:szCs w:val="32"/>
          <w:lang w:val="en-IN"/>
        </w:rPr>
        <w:t>The most efficient strategy for leakage avoidance is to switch-off the MCU digital core, either completely or partially</w:t>
      </w:r>
      <w:r w:rsidRPr="001A2BC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A2BCA" w:rsidRDefault="00AA182F" w:rsidP="001A2BCA">
      <w:pPr>
        <w:numPr>
          <w:ilvl w:val="0"/>
          <w:numId w:val="45"/>
        </w:numPr>
        <w:spacing w:line="360" w:lineRule="auto"/>
        <w:jc w:val="both"/>
        <w:rPr>
          <w:rFonts w:ascii="Times New Roman" w:hAnsi="Times New Roman" w:cs="Times New Roman"/>
          <w:bCs/>
          <w:sz w:val="32"/>
          <w:szCs w:val="32"/>
          <w:lang w:val="en-IN"/>
        </w:rPr>
      </w:pPr>
      <w:r w:rsidRPr="001A2BCA">
        <w:rPr>
          <w:rFonts w:ascii="Times New Roman" w:hAnsi="Times New Roman" w:cs="Times New Roman"/>
          <w:bCs/>
          <w:sz w:val="32"/>
          <w:szCs w:val="32"/>
          <w:lang w:val="en-IN"/>
        </w:rPr>
        <w:t xml:space="preserve">A large capacitor at output node reduces undershoot/overshoot, but it increases silicon </w:t>
      </w:r>
      <w:r w:rsidRPr="001A2BCA">
        <w:rPr>
          <w:rFonts w:ascii="Times New Roman" w:hAnsi="Times New Roman" w:cs="Times New Roman"/>
          <w:bCs/>
          <w:sz w:val="32"/>
          <w:szCs w:val="32"/>
          <w:lang w:val="en-IN"/>
        </w:rPr>
        <w:t xml:space="preserve">area and output voltage settling time. </w:t>
      </w:r>
    </w:p>
    <w:p w:rsidR="00000000" w:rsidRPr="001A2BCA" w:rsidRDefault="00AA182F" w:rsidP="001A2BCA">
      <w:pPr>
        <w:numPr>
          <w:ilvl w:val="0"/>
          <w:numId w:val="45"/>
        </w:numPr>
        <w:spacing w:line="360" w:lineRule="auto"/>
        <w:jc w:val="both"/>
        <w:rPr>
          <w:rFonts w:ascii="Times New Roman" w:hAnsi="Times New Roman" w:cs="Times New Roman"/>
          <w:bCs/>
          <w:sz w:val="32"/>
          <w:szCs w:val="32"/>
          <w:lang w:val="en-IN"/>
        </w:rPr>
      </w:pPr>
      <w:r w:rsidRPr="001A2BCA">
        <w:rPr>
          <w:rFonts w:ascii="Times New Roman" w:hAnsi="Times New Roman" w:cs="Times New Roman"/>
          <w:bCs/>
          <w:sz w:val="32"/>
          <w:szCs w:val="32"/>
          <w:lang w:val="en-IN"/>
        </w:rPr>
        <w:t xml:space="preserve">Depending on the load range, and the type of digital control used, a wide bandwidth DLDO control loop can reduce both undershoot/overshoot and settling time. </w:t>
      </w:r>
    </w:p>
    <w:p w:rsidR="00000000" w:rsidRPr="001A2BCA" w:rsidRDefault="00AA182F" w:rsidP="001A2BCA">
      <w:pPr>
        <w:numPr>
          <w:ilvl w:val="0"/>
          <w:numId w:val="45"/>
        </w:numPr>
        <w:spacing w:line="360" w:lineRule="auto"/>
        <w:jc w:val="both"/>
        <w:rPr>
          <w:rFonts w:ascii="Times New Roman" w:hAnsi="Times New Roman" w:cs="Times New Roman"/>
          <w:bCs/>
          <w:sz w:val="32"/>
          <w:szCs w:val="32"/>
          <w:lang w:val="en-IN"/>
        </w:rPr>
      </w:pPr>
      <w:r w:rsidRPr="001A2BCA">
        <w:rPr>
          <w:rFonts w:ascii="Times New Roman" w:hAnsi="Times New Roman" w:cs="Times New Roman"/>
          <w:bCs/>
          <w:sz w:val="32"/>
          <w:szCs w:val="32"/>
          <w:lang w:val="en-IN"/>
        </w:rPr>
        <w:t>However, it is challenging to design wide bandwidth DLD</w:t>
      </w:r>
      <w:r w:rsidRPr="001A2BCA">
        <w:rPr>
          <w:rFonts w:ascii="Times New Roman" w:hAnsi="Times New Roman" w:cs="Times New Roman"/>
          <w:bCs/>
          <w:sz w:val="32"/>
          <w:szCs w:val="32"/>
          <w:lang w:val="en-IN"/>
        </w:rPr>
        <w:t xml:space="preserve">O linear control loop due to load dependent stability issue. </w:t>
      </w:r>
    </w:p>
    <w:p w:rsidR="00000000" w:rsidRPr="001A2BCA" w:rsidRDefault="00AA182F" w:rsidP="001A2BCA">
      <w:pPr>
        <w:numPr>
          <w:ilvl w:val="0"/>
          <w:numId w:val="45"/>
        </w:numPr>
        <w:spacing w:line="360" w:lineRule="auto"/>
        <w:jc w:val="both"/>
        <w:rPr>
          <w:rFonts w:ascii="Times New Roman" w:hAnsi="Times New Roman" w:cs="Times New Roman"/>
          <w:bCs/>
          <w:sz w:val="32"/>
          <w:szCs w:val="32"/>
          <w:lang w:val="en-IN"/>
        </w:rPr>
      </w:pPr>
      <w:r w:rsidRPr="001A2BCA">
        <w:rPr>
          <w:rFonts w:ascii="Times New Roman" w:hAnsi="Times New Roman" w:cs="Times New Roman"/>
          <w:bCs/>
          <w:sz w:val="32"/>
          <w:szCs w:val="32"/>
          <w:lang w:val="en-IN"/>
        </w:rPr>
        <w:t>However, the ALDOs suffer from stability problems due to load dependent output pole and the need for complex compensation networks</w:t>
      </w:r>
    </w:p>
    <w:p w:rsidR="000B33B0" w:rsidRPr="00EE1AEA" w:rsidRDefault="006A300A" w:rsidP="00EE1AEA">
      <w:pPr>
        <w:spacing w:line="360" w:lineRule="auto"/>
        <w:jc w:val="both"/>
        <w:rPr>
          <w:rFonts w:ascii="Times New Roman" w:eastAsia="Times New Roman" w:hAnsi="Times New Roman" w:cs="Times New Roman"/>
          <w:sz w:val="32"/>
          <w:szCs w:val="32"/>
        </w:rPr>
      </w:pPr>
      <w:r w:rsidRPr="00EE1AEA">
        <w:rPr>
          <w:rFonts w:ascii="Times New Roman" w:hAnsi="Times New Roman" w:cs="Times New Roman"/>
          <w:b/>
          <w:sz w:val="36"/>
          <w:szCs w:val="36"/>
        </w:rPr>
        <w:lastRenderedPageBreak/>
        <w:t xml:space="preserve">2.2. PROPOSED </w:t>
      </w:r>
      <w:r w:rsidR="000B33B0" w:rsidRPr="00EE1AEA">
        <w:rPr>
          <w:rFonts w:ascii="Times New Roman" w:hAnsi="Times New Roman" w:cs="Times New Roman"/>
          <w:b/>
          <w:sz w:val="36"/>
          <w:szCs w:val="36"/>
        </w:rPr>
        <w:t xml:space="preserve">SYSTEM </w:t>
      </w:r>
    </w:p>
    <w:p w:rsidR="00EE1AEA" w:rsidRPr="00EE1AEA" w:rsidRDefault="00EE1AEA" w:rsidP="00EE1AEA">
      <w:pPr>
        <w:pStyle w:val="NormalWeb"/>
        <w:numPr>
          <w:ilvl w:val="0"/>
          <w:numId w:val="46"/>
        </w:numPr>
        <w:spacing w:before="0" w:beforeAutospacing="0" w:after="0" w:afterAutospacing="0" w:line="360" w:lineRule="auto"/>
        <w:ind w:left="142" w:hanging="141"/>
        <w:jc w:val="both"/>
        <w:rPr>
          <w:sz w:val="32"/>
          <w:szCs w:val="32"/>
        </w:rPr>
      </w:pPr>
      <w:r w:rsidRPr="00EE1AEA">
        <w:rPr>
          <w:sz w:val="32"/>
          <w:szCs w:val="32"/>
        </w:rPr>
        <w:t>Among many other proposed techniques, the most effective approach to minimize the leakage current is to switch-off the MCU digital core, either completely or partially.</w:t>
      </w:r>
    </w:p>
    <w:p w:rsidR="00EE1AEA" w:rsidRPr="00EE1AEA" w:rsidRDefault="00EE1AEA" w:rsidP="00EE1AEA">
      <w:pPr>
        <w:pStyle w:val="NormalWeb"/>
        <w:numPr>
          <w:ilvl w:val="0"/>
          <w:numId w:val="46"/>
        </w:numPr>
        <w:spacing w:before="0" w:beforeAutospacing="0" w:after="0" w:afterAutospacing="0" w:line="360" w:lineRule="auto"/>
        <w:ind w:left="142" w:hanging="141"/>
        <w:jc w:val="both"/>
        <w:rPr>
          <w:sz w:val="32"/>
          <w:szCs w:val="32"/>
        </w:rPr>
      </w:pPr>
      <w:r w:rsidRPr="00EE1AEA">
        <w:rPr>
          <w:sz w:val="32"/>
          <w:szCs w:val="32"/>
        </w:rPr>
        <w:t xml:space="preserve">In the proposed ultra-low-power MCU system, the digital core is supplied by a linear low-dropout voltage regulator (LDO). Conventionally, such an LDO is stabilized by a large external capacitance at its output, which is at least in the range of some 100 nF. </w:t>
      </w:r>
    </w:p>
    <w:p w:rsidR="00BB3207" w:rsidRDefault="00EE1AEA" w:rsidP="00EE1AEA">
      <w:pPr>
        <w:pStyle w:val="NormalWeb"/>
        <w:numPr>
          <w:ilvl w:val="0"/>
          <w:numId w:val="46"/>
        </w:numPr>
        <w:spacing w:before="0" w:beforeAutospacing="0" w:after="0" w:afterAutospacing="0" w:line="360" w:lineRule="auto"/>
        <w:ind w:left="142" w:hanging="141"/>
        <w:jc w:val="both"/>
        <w:rPr>
          <w:sz w:val="32"/>
          <w:szCs w:val="32"/>
        </w:rPr>
      </w:pPr>
      <w:r w:rsidRPr="00EE1AEA">
        <w:rPr>
          <w:sz w:val="32"/>
          <w:szCs w:val="32"/>
        </w:rPr>
        <w:t>The most widely proposed approach is to interpose a buffer stage between the error amplifier output and the pass-transistor gate node.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E1AEA" w:rsidRDefault="00AA182F" w:rsidP="00EE1A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1AEA">
        <w:rPr>
          <w:rFonts w:ascii="Times New Roman" w:eastAsia="AdvGulliv-R" w:hAnsi="Times New Roman" w:cs="Times New Roman"/>
          <w:bCs/>
          <w:sz w:val="32"/>
          <w:szCs w:val="32"/>
          <w:lang w:val="en-IN"/>
        </w:rPr>
        <w:t xml:space="preserve">The proposed DLDO achieve fast transient settling time, lower undershoot/overshoot and higher PSR performance compared to state of the art. </w:t>
      </w:r>
    </w:p>
    <w:p w:rsidR="00000000" w:rsidRPr="00EE1AEA" w:rsidRDefault="00AA182F" w:rsidP="00EE1A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1AEA">
        <w:rPr>
          <w:rFonts w:ascii="Times New Roman" w:eastAsia="AdvGulliv-R" w:hAnsi="Times New Roman" w:cs="Times New Roman"/>
          <w:bCs/>
          <w:sz w:val="32"/>
          <w:szCs w:val="32"/>
          <w:lang w:val="en-IN"/>
        </w:rPr>
        <w:t>By having a good PSR performance, the proposed DLDO is able to</w:t>
      </w:r>
      <w:r w:rsidRPr="00EE1AEA">
        <w:rPr>
          <w:rFonts w:ascii="Times New Roman" w:eastAsia="AdvGulliv-R" w:hAnsi="Times New Roman" w:cs="Times New Roman"/>
          <w:bCs/>
          <w:sz w:val="32"/>
          <w:szCs w:val="32"/>
          <w:lang w:val="en-IN"/>
        </w:rPr>
        <w:t xml:space="preserve"> power mixed signal load. </w:t>
      </w:r>
    </w:p>
    <w:p w:rsidR="00000000" w:rsidRPr="00EE1AEA" w:rsidRDefault="00AA182F" w:rsidP="00EE1A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1AEA">
        <w:rPr>
          <w:rFonts w:ascii="Times New Roman" w:eastAsia="AdvGulliv-R" w:hAnsi="Times New Roman" w:cs="Times New Roman"/>
          <w:bCs/>
          <w:sz w:val="32"/>
          <w:szCs w:val="32"/>
          <w:lang w:val="en-IN"/>
        </w:rPr>
        <w:t>To achieve a fast load transient response, a load transient detector (LTD) enables boost mode operation of the digital PI controller.</w:t>
      </w:r>
    </w:p>
    <w:p w:rsidR="00000000" w:rsidRPr="00EE1AEA" w:rsidRDefault="00AA182F" w:rsidP="00EE1AE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E1AEA">
        <w:rPr>
          <w:rFonts w:ascii="Times New Roman" w:eastAsia="AdvGulliv-R" w:hAnsi="Times New Roman" w:cs="Times New Roman"/>
          <w:bCs/>
          <w:sz w:val="32"/>
          <w:szCs w:val="32"/>
          <w:lang w:val="en-IN"/>
        </w:rPr>
        <w:t>In , a coarse-fine dual loop control (coarse control loop operating at fast clock and fine co</w:t>
      </w:r>
      <w:r w:rsidRPr="00EE1AEA">
        <w:rPr>
          <w:rFonts w:ascii="Times New Roman" w:eastAsia="AdvGulliv-R" w:hAnsi="Times New Roman" w:cs="Times New Roman"/>
          <w:bCs/>
          <w:sz w:val="32"/>
          <w:szCs w:val="32"/>
          <w:lang w:val="en-IN"/>
        </w:rPr>
        <w:t>ntrol loop operating at slow clock), is used to improve the trade-off between transient performance and DC accuracy. However, the dual loop control increases the complexity of the DLDO.</w:t>
      </w:r>
      <w:r w:rsidRPr="00EE1AEA">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Accurate, compact, and power-efficient LiIon battery charger circuit</w:t>
            </w:r>
          </w:p>
        </w:tc>
        <w:tc>
          <w:tcPr>
            <w:tcW w:w="3192" w:type="dxa"/>
          </w:tcPr>
          <w:p w:rsidR="000C407B" w:rsidRPr="00052EC3" w:rsidRDefault="00052EC3" w:rsidP="00052EC3">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 xml:space="preserve">M. Chen and G. A. Rincon-Mora, </w:t>
            </w:r>
          </w:p>
        </w:tc>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color w:val="333333"/>
                <w:sz w:val="28"/>
                <w:szCs w:val="28"/>
                <w:shd w:val="clear" w:color="auto" w:fill="FFFFFF"/>
              </w:rPr>
              <w:t>A novel, accurate, compact, and power-efficient lithium-ion (Li-Ion) battery charger designed to yield maximum capacity, cycle life, and therefore runtime is presented and experimentally verified.</w:t>
            </w:r>
          </w:p>
        </w:tc>
      </w:tr>
      <w:tr w:rsidR="000C407B" w:rsidTr="000C407B">
        <w:trPr>
          <w:trHeight w:val="2942"/>
        </w:trPr>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An area and power-efficient analog Li-Ion battery charger circuit</w:t>
            </w:r>
          </w:p>
        </w:tc>
        <w:tc>
          <w:tcPr>
            <w:tcW w:w="3192" w:type="dxa"/>
          </w:tcPr>
          <w:p w:rsidR="000C407B" w:rsidRPr="00052EC3" w:rsidRDefault="00052EC3" w:rsidP="00052EC3">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 xml:space="preserve">B. D. Valle, C. T. Wentz, and R. Sarpeshkar, </w:t>
            </w:r>
          </w:p>
        </w:tc>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color w:val="333333"/>
                <w:sz w:val="28"/>
                <w:szCs w:val="28"/>
                <w:shd w:val="clear" w:color="auto" w:fill="FFFFFF"/>
              </w:rPr>
              <w:t>This paper describes an ultra-compact analog lithium-ion (Li-ion) battery charger with high energy efficiency.</w:t>
            </w:r>
          </w:p>
        </w:tc>
      </w:tr>
      <w:tr w:rsidR="000C407B" w:rsidTr="000C407B">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A Li-Ion battery charger with smooth control circuit and built-in resistance compensator for achieving stable and fast charging</w:t>
            </w:r>
          </w:p>
        </w:tc>
        <w:tc>
          <w:tcPr>
            <w:tcW w:w="3192" w:type="dxa"/>
          </w:tcPr>
          <w:p w:rsidR="000C407B" w:rsidRPr="00052EC3" w:rsidRDefault="00052EC3" w:rsidP="00052EC3">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 xml:space="preserve">C. H. Lin, C. Y. Hsieh, and K. H. Chen, </w:t>
            </w:r>
          </w:p>
        </w:tc>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color w:val="333333"/>
                <w:sz w:val="28"/>
                <w:szCs w:val="28"/>
                <w:shd w:val="clear" w:color="auto" w:fill="FFFFFF"/>
              </w:rPr>
              <w:t>A built-in resistance compensator (BRC) technique is presented to speed up the charging time of a lithium-ion battery.</w:t>
            </w:r>
          </w:p>
        </w:tc>
      </w:tr>
      <w:tr w:rsidR="000C407B" w:rsidTr="000C407B">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A single-chip 60-V bulk charger for series Li-Ion batteries with smooth charge-mode transition</w:t>
            </w:r>
          </w:p>
        </w:tc>
        <w:tc>
          <w:tcPr>
            <w:tcW w:w="3192" w:type="dxa"/>
          </w:tcPr>
          <w:p w:rsidR="000C407B" w:rsidRPr="00052EC3" w:rsidRDefault="00052EC3" w:rsidP="00052EC3">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sz w:val="28"/>
                <w:szCs w:val="28"/>
              </w:rPr>
              <w:t xml:space="preserve">S. H. Yang, J. W. Liu, and C. C. Wang, </w:t>
            </w:r>
          </w:p>
        </w:tc>
        <w:tc>
          <w:tcPr>
            <w:tcW w:w="3192" w:type="dxa"/>
          </w:tcPr>
          <w:p w:rsidR="000C407B" w:rsidRPr="00052EC3" w:rsidRDefault="00052EC3" w:rsidP="00E53AA4">
            <w:pPr>
              <w:tabs>
                <w:tab w:val="left" w:pos="720"/>
              </w:tabs>
              <w:spacing w:after="100" w:line="360" w:lineRule="auto"/>
              <w:jc w:val="both"/>
              <w:rPr>
                <w:rFonts w:ascii="Times New Roman" w:hAnsi="Times New Roman" w:cs="Times New Roman"/>
                <w:sz w:val="28"/>
                <w:szCs w:val="28"/>
              </w:rPr>
            </w:pPr>
            <w:r w:rsidRPr="00052EC3">
              <w:rPr>
                <w:rFonts w:ascii="Times New Roman" w:hAnsi="Times New Roman" w:cs="Times New Roman"/>
                <w:color w:val="333333"/>
                <w:sz w:val="28"/>
                <w:szCs w:val="28"/>
                <w:shd w:val="clear" w:color="auto" w:fill="FFFFFF"/>
              </w:rPr>
              <w:t xml:space="preserve">The charger sources a current of 136 mA in CC mode and has an efficiency up to 92% </w:t>
            </w:r>
            <w:r w:rsidRPr="00052EC3">
              <w:rPr>
                <w:rFonts w:ascii="Times New Roman" w:hAnsi="Times New Roman" w:cs="Times New Roman"/>
                <w:color w:val="333333"/>
                <w:sz w:val="28"/>
                <w:szCs w:val="28"/>
                <w:shd w:val="clear" w:color="auto" w:fill="FFFFFF"/>
              </w:rPr>
              <w:lastRenderedPageBreak/>
              <w:t>during the charging sequence.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305BF0" w:rsidRPr="00D81E16" w:rsidRDefault="00305BF0" w:rsidP="00A3417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1A2BCA" w:rsidRDefault="00405E73" w:rsidP="001A2BCA">
      <w:pPr>
        <w:spacing w:line="360" w:lineRule="auto"/>
        <w:jc w:val="both"/>
        <w:rPr>
          <w:rFonts w:ascii="Times New Roman" w:hAnsi="Times New Roman" w:cs="Times New Roman"/>
          <w:b/>
          <w:bCs/>
          <w:sz w:val="36"/>
          <w:szCs w:val="36"/>
        </w:rPr>
      </w:pPr>
      <w:r w:rsidRPr="001A2BCA">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B0B41"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895975" cy="3295650"/>
            <wp:effectExtent l="19050" t="0" r="9525" b="0"/>
            <wp:docPr id="3" name="Picture 1" descr="C:\Users\ELCOT-Lenovo\Desktop\pi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2.jpg"/>
                    <pic:cNvPicPr>
                      <a:picLocks noChangeAspect="1" noChangeArrowheads="1"/>
                    </pic:cNvPicPr>
                  </pic:nvPicPr>
                  <pic:blipFill>
                    <a:blip r:embed="rId8"/>
                    <a:srcRect/>
                    <a:stretch>
                      <a:fillRect/>
                    </a:stretch>
                  </pic:blipFill>
                  <pic:spPr bwMode="auto">
                    <a:xfrm>
                      <a:off x="0" y="0"/>
                      <a:ext cx="5895975" cy="32956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BB0B41"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A2BCA" w:rsidRDefault="001A2BC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A2BCA" w:rsidRPr="001A2BCA" w:rsidRDefault="001A2BCA" w:rsidP="001A2BCA">
      <w:pPr>
        <w:pStyle w:val="BodyText"/>
        <w:rPr>
          <w:bCs/>
          <w:iCs/>
          <w:sz w:val="32"/>
          <w:szCs w:val="32"/>
          <w:lang w:val="en-IN"/>
        </w:rPr>
      </w:pPr>
      <w:r w:rsidRPr="001A2BCA">
        <w:rPr>
          <w:bCs/>
          <w:iCs/>
          <w:sz w:val="32"/>
          <w:szCs w:val="32"/>
          <w:lang w:val="en-IN"/>
        </w:rPr>
        <w:t xml:space="preserve">     The work in this dissertation is divided into two part, the first part is focused on the design of a switching based Li-ion battery charger. A high efficiency, cascaded two loop control architecture utilizing time based circuit technique for seamless CC-CV transition, bidirectional power capability for USB-OTG and D2D charging function is designed and fabricated in a 6-level metal 0.18 µm BCD process with an active area of mm2 . The complete charging cycle with seamless CC-CV transition is demonstrated in the measurement result, and the maximum efficiency in charge mode is 93.3 %. When the charger is configured as boost converter, the measured undershoot, overshoot and settling time from load transient are 356 mV, 248 mV and 20 µs for a load change between 500 mA and 1.5A. The maximum efficiency in boost mode is 96.3 % and the steady-state regulation error is -0.18%.</w:t>
      </w:r>
      <w:r w:rsidRPr="001A2BC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1A2BCA" w:rsidRDefault="001A2BC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10C12" w:rsidRDefault="00AA182F" w:rsidP="00C10C12">
      <w:pPr>
        <w:pStyle w:val="BodyText"/>
        <w:numPr>
          <w:ilvl w:val="0"/>
          <w:numId w:val="42"/>
        </w:numPr>
        <w:rPr>
          <w:sz w:val="32"/>
          <w:szCs w:val="32"/>
          <w:lang w:val="en-IN"/>
        </w:rPr>
      </w:pPr>
      <w:r w:rsidRPr="00C10C12">
        <w:rPr>
          <w:sz w:val="32"/>
          <w:szCs w:val="32"/>
          <w:lang w:val="en-IN"/>
        </w:rPr>
        <w:t xml:space="preserve">[1] M. Chen and G. A. Rincon-Mora, “Accurate, compact, and power-efficient LiIon battery </w:t>
      </w:r>
      <w:r w:rsidRPr="00C10C12">
        <w:rPr>
          <w:sz w:val="32"/>
          <w:szCs w:val="32"/>
          <w:lang w:val="en-IN"/>
        </w:rPr>
        <w:t xml:space="preserve">charger circuit,” IEEE Trans. Circuits Syst. II, vol. 53, no. 11, pp. 1180–1184, Nov. 2006. </w:t>
      </w:r>
    </w:p>
    <w:p w:rsidR="00000000" w:rsidRPr="00C10C12" w:rsidRDefault="00AA182F" w:rsidP="00C10C12">
      <w:pPr>
        <w:pStyle w:val="BodyText"/>
        <w:numPr>
          <w:ilvl w:val="0"/>
          <w:numId w:val="42"/>
        </w:numPr>
        <w:rPr>
          <w:sz w:val="32"/>
          <w:szCs w:val="32"/>
          <w:lang w:val="en-IN"/>
        </w:rPr>
      </w:pPr>
      <w:r w:rsidRPr="00C10C12">
        <w:rPr>
          <w:sz w:val="32"/>
          <w:szCs w:val="32"/>
          <w:lang w:val="en-IN"/>
        </w:rPr>
        <w:t xml:space="preserve">[2] B. D. Valle, C. T. Wentz, and R. Sarpeshkar, “An area and power-efficient analog Li-Ion </w:t>
      </w:r>
      <w:r w:rsidRPr="00C10C12">
        <w:rPr>
          <w:sz w:val="32"/>
          <w:szCs w:val="32"/>
          <w:lang w:val="en-IN"/>
        </w:rPr>
        <w:t xml:space="preserve">battery charger circuit,” IEEE Trans. Biomed. Circuits Syst., vol. 5, no. 2, pp. 131–137, Apr. 2011. </w:t>
      </w:r>
    </w:p>
    <w:p w:rsidR="00000000" w:rsidRPr="00C10C12" w:rsidRDefault="00AA182F" w:rsidP="00C10C12">
      <w:pPr>
        <w:pStyle w:val="BodyText"/>
        <w:numPr>
          <w:ilvl w:val="0"/>
          <w:numId w:val="42"/>
        </w:numPr>
        <w:rPr>
          <w:sz w:val="32"/>
          <w:szCs w:val="32"/>
          <w:lang w:val="en-IN"/>
        </w:rPr>
      </w:pPr>
      <w:r w:rsidRPr="00C10C12">
        <w:rPr>
          <w:sz w:val="32"/>
          <w:szCs w:val="32"/>
          <w:lang w:val="en-IN"/>
        </w:rPr>
        <w:t>[3] C. H. Lin, C. Y. Hsieh, and K. H. Chen, “A Li-Ion battery charger with smooth control circuit and built-in resistance compensator for achieving stabl</w:t>
      </w:r>
      <w:r w:rsidRPr="00C10C12">
        <w:rPr>
          <w:sz w:val="32"/>
          <w:szCs w:val="32"/>
          <w:lang w:val="en-IN"/>
        </w:rPr>
        <w:t xml:space="preserve">e and fast charging,” IEEE Trans. Circuits Syst. I, vol. 57, no. 2, pp. 506–517, Feb. 2010. </w:t>
      </w:r>
    </w:p>
    <w:p w:rsidR="00000000" w:rsidRPr="00C10C12" w:rsidRDefault="00AA182F" w:rsidP="00C10C12">
      <w:pPr>
        <w:pStyle w:val="BodyText"/>
        <w:numPr>
          <w:ilvl w:val="0"/>
          <w:numId w:val="42"/>
        </w:numPr>
        <w:rPr>
          <w:sz w:val="32"/>
          <w:szCs w:val="32"/>
          <w:lang w:val="en-IN"/>
        </w:rPr>
      </w:pPr>
      <w:r w:rsidRPr="00C10C12">
        <w:rPr>
          <w:sz w:val="32"/>
          <w:szCs w:val="32"/>
          <w:lang w:val="en-IN"/>
        </w:rPr>
        <w:t xml:space="preserve">[4] S. H. Yang, J. W. Liu, and C. C. Wang, “A single-chip 60-V bulk charger for series Li-Ion batteries with smooth charge-mode transition,” IEEE Trans. Circuits </w:t>
      </w:r>
      <w:r w:rsidRPr="00C10C12">
        <w:rPr>
          <w:sz w:val="32"/>
          <w:szCs w:val="32"/>
          <w:lang w:val="en-IN"/>
        </w:rPr>
        <w:t xml:space="preserve">Syst. I, vol. 59, no. 7, pp. 1588–1597, Jul. 2012. </w:t>
      </w:r>
    </w:p>
    <w:p w:rsidR="00000000" w:rsidRPr="00C10C12" w:rsidRDefault="00AA182F" w:rsidP="00C10C12">
      <w:pPr>
        <w:pStyle w:val="BodyText"/>
        <w:numPr>
          <w:ilvl w:val="0"/>
          <w:numId w:val="42"/>
        </w:numPr>
        <w:rPr>
          <w:sz w:val="32"/>
          <w:szCs w:val="32"/>
          <w:lang w:val="en-IN"/>
        </w:rPr>
      </w:pPr>
      <w:r w:rsidRPr="00C10C12">
        <w:rPr>
          <w:sz w:val="32"/>
          <w:szCs w:val="32"/>
          <w:lang w:val="en-IN"/>
        </w:rPr>
        <w:t>[5] J. J. Chen, F. C. Yang, C. C. Lai, Y. S. Hwang, and R. G. Lee, “A high-efficiency multimode Li-Ion battery charger with variable current source and controlling previous-stage supply voltage,” IEEE Tr</w:t>
      </w:r>
      <w:r w:rsidRPr="00C10C12">
        <w:rPr>
          <w:sz w:val="32"/>
          <w:szCs w:val="32"/>
          <w:lang w:val="en-IN"/>
        </w:rPr>
        <w:t>ans. Ind. Electron., vol. 56, no. 7, pp. 2469–2478, Jul. 2009.</w:t>
      </w:r>
      <w:r w:rsidRPr="00C10C12">
        <w:rPr>
          <w:sz w:val="32"/>
          <w:szCs w:val="32"/>
        </w:rPr>
        <w:t xml:space="preserve"> </w:t>
      </w:r>
    </w:p>
    <w:p w:rsidR="00000000" w:rsidRPr="00C10C12" w:rsidRDefault="00AA182F" w:rsidP="00C10C12">
      <w:pPr>
        <w:pStyle w:val="BodyText"/>
        <w:numPr>
          <w:ilvl w:val="0"/>
          <w:numId w:val="42"/>
        </w:numPr>
        <w:rPr>
          <w:sz w:val="32"/>
          <w:szCs w:val="32"/>
          <w:lang w:val="en-IN"/>
        </w:rPr>
      </w:pPr>
      <w:r w:rsidRPr="00C10C12">
        <w:rPr>
          <w:sz w:val="32"/>
          <w:szCs w:val="32"/>
          <w:lang w:val="en-IN"/>
        </w:rPr>
        <w:t xml:space="preserve">[6] Y. S. Hwang, S. C. Wang, F. C. Yang, and J. J. Chen, “New compact CMOS Li-Ion battery charger using charge-pump </w:t>
      </w:r>
      <w:r w:rsidRPr="00C10C12">
        <w:rPr>
          <w:sz w:val="32"/>
          <w:szCs w:val="32"/>
          <w:lang w:val="en-IN"/>
        </w:rPr>
        <w:lastRenderedPageBreak/>
        <w:t>technique for portable applications,” IEEE Trans. Circuits Syst. I, vol. 54</w:t>
      </w:r>
      <w:r w:rsidRPr="00C10C12">
        <w:rPr>
          <w:sz w:val="32"/>
          <w:szCs w:val="32"/>
          <w:lang w:val="en-IN"/>
        </w:rPr>
        <w:t xml:space="preserve">, no. 4, pp. 705–712, Apr. 2007. </w:t>
      </w:r>
    </w:p>
    <w:p w:rsidR="00000000" w:rsidRPr="00C10C12" w:rsidRDefault="00AA182F" w:rsidP="00C10C12">
      <w:pPr>
        <w:pStyle w:val="BodyText"/>
        <w:numPr>
          <w:ilvl w:val="0"/>
          <w:numId w:val="42"/>
        </w:numPr>
        <w:rPr>
          <w:sz w:val="32"/>
          <w:szCs w:val="32"/>
          <w:lang w:val="en-IN"/>
        </w:rPr>
      </w:pPr>
      <w:r w:rsidRPr="00C10C12">
        <w:rPr>
          <w:sz w:val="32"/>
          <w:szCs w:val="32"/>
          <w:lang w:val="en-IN"/>
        </w:rPr>
        <w:t xml:space="preserve">[7] P. J. Liu and C. H. Yen, “A fast-charging switching-based charger with adaptive hybrid duty cycle control for multiple batteries,” IEEE Trans. Power Electron., vol. 32, no. 3, pp. 1975–1983, Mar. 2017. </w:t>
      </w:r>
    </w:p>
    <w:p w:rsidR="00000000" w:rsidRPr="00C10C12" w:rsidRDefault="00AA182F" w:rsidP="00C10C12">
      <w:pPr>
        <w:pStyle w:val="BodyText"/>
        <w:numPr>
          <w:ilvl w:val="0"/>
          <w:numId w:val="42"/>
        </w:numPr>
        <w:rPr>
          <w:sz w:val="32"/>
          <w:szCs w:val="32"/>
          <w:lang w:val="en-IN"/>
        </w:rPr>
      </w:pPr>
      <w:r w:rsidRPr="00C10C12">
        <w:rPr>
          <w:sz w:val="32"/>
          <w:szCs w:val="32"/>
          <w:lang w:val="en-IN"/>
        </w:rPr>
        <w:t>[8] K. Chung,</w:t>
      </w:r>
      <w:r w:rsidRPr="00C10C12">
        <w:rPr>
          <w:sz w:val="32"/>
          <w:szCs w:val="32"/>
          <w:lang w:val="en-IN"/>
        </w:rPr>
        <w:t xml:space="preserve"> S. K. Hong, and O. K. Kwon, “A fast and compact charger for an LiIon battery using successive built-in resistance detection,” IEEE Trans. Circuits Syst. II, vol. 64, no. 2, pp. 161–165, Feb. 2017. </w:t>
      </w:r>
    </w:p>
    <w:p w:rsidR="00000000" w:rsidRPr="00C10C12" w:rsidRDefault="00AA182F" w:rsidP="00C10C12">
      <w:pPr>
        <w:pStyle w:val="BodyText"/>
        <w:numPr>
          <w:ilvl w:val="0"/>
          <w:numId w:val="42"/>
        </w:numPr>
        <w:rPr>
          <w:sz w:val="32"/>
          <w:szCs w:val="32"/>
          <w:lang w:val="en-IN"/>
        </w:rPr>
      </w:pPr>
      <w:r w:rsidRPr="00C10C12">
        <w:rPr>
          <w:sz w:val="32"/>
          <w:szCs w:val="32"/>
          <w:lang w:val="en-IN"/>
        </w:rPr>
        <w:t>[9] P. H. V. Quang, T. T. Ha, and J. W. Lee, “A fully in</w:t>
      </w:r>
      <w:r w:rsidRPr="00C10C12">
        <w:rPr>
          <w:sz w:val="32"/>
          <w:szCs w:val="32"/>
          <w:lang w:val="en-IN"/>
        </w:rPr>
        <w:t xml:space="preserve">tegrated multimode wireless power charger IC with adaptive supply control and built-in resistance compensation,” IEEE Trans. Ind. Electron., vol. 62, no. 2, pp. 1251–1261, Feb. 2015. </w:t>
      </w:r>
    </w:p>
    <w:p w:rsidR="00000000" w:rsidRPr="00C10C12" w:rsidRDefault="00AA182F" w:rsidP="00C10C12">
      <w:pPr>
        <w:pStyle w:val="BodyText"/>
        <w:numPr>
          <w:ilvl w:val="0"/>
          <w:numId w:val="42"/>
        </w:numPr>
        <w:rPr>
          <w:sz w:val="32"/>
          <w:szCs w:val="32"/>
          <w:lang w:val="en-IN"/>
        </w:rPr>
      </w:pPr>
      <w:r w:rsidRPr="00C10C12">
        <w:rPr>
          <w:sz w:val="32"/>
          <w:szCs w:val="32"/>
          <w:lang w:val="en-IN"/>
        </w:rPr>
        <w:t>[10] R. Pagano, M. Baker, and R. E. Radke, “A 0.18-µm monolithic Li-Ion</w:t>
      </w:r>
      <w:r w:rsidRPr="00C10C12">
        <w:rPr>
          <w:sz w:val="32"/>
          <w:szCs w:val="32"/>
          <w:lang w:val="en-IN"/>
        </w:rPr>
        <w:t xml:space="preserve"> battery charger for wireless devices based on partial current sensing and adaptive reference voltage,” IEEE J. Solid-State Circuits, vol. 47, no. 6, pp. 1355–1368, Apr.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82F" w:rsidRDefault="00AA182F" w:rsidP="003654DF">
      <w:pPr>
        <w:spacing w:after="0" w:line="240" w:lineRule="auto"/>
      </w:pPr>
      <w:r>
        <w:separator/>
      </w:r>
    </w:p>
  </w:endnote>
  <w:endnote w:type="continuationSeparator" w:id="1">
    <w:p w:rsidR="00AA182F" w:rsidRDefault="00AA182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82F" w:rsidRDefault="00AA182F" w:rsidP="003654DF">
      <w:pPr>
        <w:spacing w:after="0" w:line="240" w:lineRule="auto"/>
      </w:pPr>
      <w:r>
        <w:separator/>
      </w:r>
    </w:p>
  </w:footnote>
  <w:footnote w:type="continuationSeparator" w:id="1">
    <w:p w:rsidR="00AA182F" w:rsidRDefault="00AA182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270EC">
        <w:pPr>
          <w:pStyle w:val="Header"/>
          <w:jc w:val="right"/>
        </w:pPr>
        <w:fldSimple w:instr=" PAGE   \* MERGEFORMAT ">
          <w:r w:rsidR="00BB0B4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486C88"/>
    <w:multiLevelType w:val="hybridMultilevel"/>
    <w:tmpl w:val="CC7093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5E73DB4"/>
    <w:multiLevelType w:val="hybridMultilevel"/>
    <w:tmpl w:val="D5FE3424"/>
    <w:lvl w:ilvl="0" w:tplc="A698BDD6">
      <w:start w:val="1"/>
      <w:numFmt w:val="bullet"/>
      <w:lvlText w:val=""/>
      <w:lvlJc w:val="left"/>
      <w:pPr>
        <w:tabs>
          <w:tab w:val="num" w:pos="720"/>
        </w:tabs>
        <w:ind w:left="720" w:hanging="360"/>
      </w:pPr>
      <w:rPr>
        <w:rFonts w:ascii="Wingdings 2" w:hAnsi="Wingdings 2" w:hint="default"/>
      </w:rPr>
    </w:lvl>
    <w:lvl w:ilvl="1" w:tplc="6EAE8D62" w:tentative="1">
      <w:start w:val="1"/>
      <w:numFmt w:val="bullet"/>
      <w:lvlText w:val=""/>
      <w:lvlJc w:val="left"/>
      <w:pPr>
        <w:tabs>
          <w:tab w:val="num" w:pos="1440"/>
        </w:tabs>
        <w:ind w:left="1440" w:hanging="360"/>
      </w:pPr>
      <w:rPr>
        <w:rFonts w:ascii="Wingdings 2" w:hAnsi="Wingdings 2" w:hint="default"/>
      </w:rPr>
    </w:lvl>
    <w:lvl w:ilvl="2" w:tplc="7E98201C" w:tentative="1">
      <w:start w:val="1"/>
      <w:numFmt w:val="bullet"/>
      <w:lvlText w:val=""/>
      <w:lvlJc w:val="left"/>
      <w:pPr>
        <w:tabs>
          <w:tab w:val="num" w:pos="2160"/>
        </w:tabs>
        <w:ind w:left="2160" w:hanging="360"/>
      </w:pPr>
      <w:rPr>
        <w:rFonts w:ascii="Wingdings 2" w:hAnsi="Wingdings 2" w:hint="default"/>
      </w:rPr>
    </w:lvl>
    <w:lvl w:ilvl="3" w:tplc="27A6722A" w:tentative="1">
      <w:start w:val="1"/>
      <w:numFmt w:val="bullet"/>
      <w:lvlText w:val=""/>
      <w:lvlJc w:val="left"/>
      <w:pPr>
        <w:tabs>
          <w:tab w:val="num" w:pos="2880"/>
        </w:tabs>
        <w:ind w:left="2880" w:hanging="360"/>
      </w:pPr>
      <w:rPr>
        <w:rFonts w:ascii="Wingdings 2" w:hAnsi="Wingdings 2" w:hint="default"/>
      </w:rPr>
    </w:lvl>
    <w:lvl w:ilvl="4" w:tplc="5834140A" w:tentative="1">
      <w:start w:val="1"/>
      <w:numFmt w:val="bullet"/>
      <w:lvlText w:val=""/>
      <w:lvlJc w:val="left"/>
      <w:pPr>
        <w:tabs>
          <w:tab w:val="num" w:pos="3600"/>
        </w:tabs>
        <w:ind w:left="3600" w:hanging="360"/>
      </w:pPr>
      <w:rPr>
        <w:rFonts w:ascii="Wingdings 2" w:hAnsi="Wingdings 2" w:hint="default"/>
      </w:rPr>
    </w:lvl>
    <w:lvl w:ilvl="5" w:tplc="2E7CC69A" w:tentative="1">
      <w:start w:val="1"/>
      <w:numFmt w:val="bullet"/>
      <w:lvlText w:val=""/>
      <w:lvlJc w:val="left"/>
      <w:pPr>
        <w:tabs>
          <w:tab w:val="num" w:pos="4320"/>
        </w:tabs>
        <w:ind w:left="4320" w:hanging="360"/>
      </w:pPr>
      <w:rPr>
        <w:rFonts w:ascii="Wingdings 2" w:hAnsi="Wingdings 2" w:hint="default"/>
      </w:rPr>
    </w:lvl>
    <w:lvl w:ilvl="6" w:tplc="8EBC53A4" w:tentative="1">
      <w:start w:val="1"/>
      <w:numFmt w:val="bullet"/>
      <w:lvlText w:val=""/>
      <w:lvlJc w:val="left"/>
      <w:pPr>
        <w:tabs>
          <w:tab w:val="num" w:pos="5040"/>
        </w:tabs>
        <w:ind w:left="5040" w:hanging="360"/>
      </w:pPr>
      <w:rPr>
        <w:rFonts w:ascii="Wingdings 2" w:hAnsi="Wingdings 2" w:hint="default"/>
      </w:rPr>
    </w:lvl>
    <w:lvl w:ilvl="7" w:tplc="23CA7A80" w:tentative="1">
      <w:start w:val="1"/>
      <w:numFmt w:val="bullet"/>
      <w:lvlText w:val=""/>
      <w:lvlJc w:val="left"/>
      <w:pPr>
        <w:tabs>
          <w:tab w:val="num" w:pos="5760"/>
        </w:tabs>
        <w:ind w:left="5760" w:hanging="360"/>
      </w:pPr>
      <w:rPr>
        <w:rFonts w:ascii="Wingdings 2" w:hAnsi="Wingdings 2" w:hint="default"/>
      </w:rPr>
    </w:lvl>
    <w:lvl w:ilvl="8" w:tplc="05BA1EE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B47551"/>
    <w:multiLevelType w:val="hybridMultilevel"/>
    <w:tmpl w:val="D5F82B1E"/>
    <w:lvl w:ilvl="0" w:tplc="9E5A5D88">
      <w:start w:val="1"/>
      <w:numFmt w:val="bullet"/>
      <w:lvlText w:val=""/>
      <w:lvlJc w:val="left"/>
      <w:pPr>
        <w:tabs>
          <w:tab w:val="num" w:pos="720"/>
        </w:tabs>
        <w:ind w:left="720" w:hanging="360"/>
      </w:pPr>
      <w:rPr>
        <w:rFonts w:ascii="Wingdings 2" w:hAnsi="Wingdings 2" w:hint="default"/>
      </w:rPr>
    </w:lvl>
    <w:lvl w:ilvl="1" w:tplc="C1DEF6F0" w:tentative="1">
      <w:start w:val="1"/>
      <w:numFmt w:val="bullet"/>
      <w:lvlText w:val=""/>
      <w:lvlJc w:val="left"/>
      <w:pPr>
        <w:tabs>
          <w:tab w:val="num" w:pos="1440"/>
        </w:tabs>
        <w:ind w:left="1440" w:hanging="360"/>
      </w:pPr>
      <w:rPr>
        <w:rFonts w:ascii="Wingdings 2" w:hAnsi="Wingdings 2" w:hint="default"/>
      </w:rPr>
    </w:lvl>
    <w:lvl w:ilvl="2" w:tplc="F438B938" w:tentative="1">
      <w:start w:val="1"/>
      <w:numFmt w:val="bullet"/>
      <w:lvlText w:val=""/>
      <w:lvlJc w:val="left"/>
      <w:pPr>
        <w:tabs>
          <w:tab w:val="num" w:pos="2160"/>
        </w:tabs>
        <w:ind w:left="2160" w:hanging="360"/>
      </w:pPr>
      <w:rPr>
        <w:rFonts w:ascii="Wingdings 2" w:hAnsi="Wingdings 2" w:hint="default"/>
      </w:rPr>
    </w:lvl>
    <w:lvl w:ilvl="3" w:tplc="1CCAC2DA" w:tentative="1">
      <w:start w:val="1"/>
      <w:numFmt w:val="bullet"/>
      <w:lvlText w:val=""/>
      <w:lvlJc w:val="left"/>
      <w:pPr>
        <w:tabs>
          <w:tab w:val="num" w:pos="2880"/>
        </w:tabs>
        <w:ind w:left="2880" w:hanging="360"/>
      </w:pPr>
      <w:rPr>
        <w:rFonts w:ascii="Wingdings 2" w:hAnsi="Wingdings 2" w:hint="default"/>
      </w:rPr>
    </w:lvl>
    <w:lvl w:ilvl="4" w:tplc="D960CD1A" w:tentative="1">
      <w:start w:val="1"/>
      <w:numFmt w:val="bullet"/>
      <w:lvlText w:val=""/>
      <w:lvlJc w:val="left"/>
      <w:pPr>
        <w:tabs>
          <w:tab w:val="num" w:pos="3600"/>
        </w:tabs>
        <w:ind w:left="3600" w:hanging="360"/>
      </w:pPr>
      <w:rPr>
        <w:rFonts w:ascii="Wingdings 2" w:hAnsi="Wingdings 2" w:hint="default"/>
      </w:rPr>
    </w:lvl>
    <w:lvl w:ilvl="5" w:tplc="E9BC6F28" w:tentative="1">
      <w:start w:val="1"/>
      <w:numFmt w:val="bullet"/>
      <w:lvlText w:val=""/>
      <w:lvlJc w:val="left"/>
      <w:pPr>
        <w:tabs>
          <w:tab w:val="num" w:pos="4320"/>
        </w:tabs>
        <w:ind w:left="4320" w:hanging="360"/>
      </w:pPr>
      <w:rPr>
        <w:rFonts w:ascii="Wingdings 2" w:hAnsi="Wingdings 2" w:hint="default"/>
      </w:rPr>
    </w:lvl>
    <w:lvl w:ilvl="6" w:tplc="AFF83742" w:tentative="1">
      <w:start w:val="1"/>
      <w:numFmt w:val="bullet"/>
      <w:lvlText w:val=""/>
      <w:lvlJc w:val="left"/>
      <w:pPr>
        <w:tabs>
          <w:tab w:val="num" w:pos="5040"/>
        </w:tabs>
        <w:ind w:left="5040" w:hanging="360"/>
      </w:pPr>
      <w:rPr>
        <w:rFonts w:ascii="Wingdings 2" w:hAnsi="Wingdings 2" w:hint="default"/>
      </w:rPr>
    </w:lvl>
    <w:lvl w:ilvl="7" w:tplc="4FFCFC8A" w:tentative="1">
      <w:start w:val="1"/>
      <w:numFmt w:val="bullet"/>
      <w:lvlText w:val=""/>
      <w:lvlJc w:val="left"/>
      <w:pPr>
        <w:tabs>
          <w:tab w:val="num" w:pos="5760"/>
        </w:tabs>
        <w:ind w:left="5760" w:hanging="360"/>
      </w:pPr>
      <w:rPr>
        <w:rFonts w:ascii="Wingdings 2" w:hAnsi="Wingdings 2" w:hint="default"/>
      </w:rPr>
    </w:lvl>
    <w:lvl w:ilvl="8" w:tplc="E7FAF90A"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894D2D"/>
    <w:multiLevelType w:val="hybridMultilevel"/>
    <w:tmpl w:val="E0F6E2FC"/>
    <w:lvl w:ilvl="0" w:tplc="A0BE354E">
      <w:start w:val="1"/>
      <w:numFmt w:val="bullet"/>
      <w:lvlText w:val=""/>
      <w:lvlJc w:val="left"/>
      <w:pPr>
        <w:tabs>
          <w:tab w:val="num" w:pos="720"/>
        </w:tabs>
        <w:ind w:left="720" w:hanging="360"/>
      </w:pPr>
      <w:rPr>
        <w:rFonts w:ascii="Wingdings 2" w:hAnsi="Wingdings 2" w:hint="default"/>
      </w:rPr>
    </w:lvl>
    <w:lvl w:ilvl="1" w:tplc="7AFCA6FC" w:tentative="1">
      <w:start w:val="1"/>
      <w:numFmt w:val="bullet"/>
      <w:lvlText w:val=""/>
      <w:lvlJc w:val="left"/>
      <w:pPr>
        <w:tabs>
          <w:tab w:val="num" w:pos="1440"/>
        </w:tabs>
        <w:ind w:left="1440" w:hanging="360"/>
      </w:pPr>
      <w:rPr>
        <w:rFonts w:ascii="Wingdings 2" w:hAnsi="Wingdings 2" w:hint="default"/>
      </w:rPr>
    </w:lvl>
    <w:lvl w:ilvl="2" w:tplc="9F0AEE8A" w:tentative="1">
      <w:start w:val="1"/>
      <w:numFmt w:val="bullet"/>
      <w:lvlText w:val=""/>
      <w:lvlJc w:val="left"/>
      <w:pPr>
        <w:tabs>
          <w:tab w:val="num" w:pos="2160"/>
        </w:tabs>
        <w:ind w:left="2160" w:hanging="360"/>
      </w:pPr>
      <w:rPr>
        <w:rFonts w:ascii="Wingdings 2" w:hAnsi="Wingdings 2" w:hint="default"/>
      </w:rPr>
    </w:lvl>
    <w:lvl w:ilvl="3" w:tplc="AEEE96FE" w:tentative="1">
      <w:start w:val="1"/>
      <w:numFmt w:val="bullet"/>
      <w:lvlText w:val=""/>
      <w:lvlJc w:val="left"/>
      <w:pPr>
        <w:tabs>
          <w:tab w:val="num" w:pos="2880"/>
        </w:tabs>
        <w:ind w:left="2880" w:hanging="360"/>
      </w:pPr>
      <w:rPr>
        <w:rFonts w:ascii="Wingdings 2" w:hAnsi="Wingdings 2" w:hint="default"/>
      </w:rPr>
    </w:lvl>
    <w:lvl w:ilvl="4" w:tplc="1780C7B8" w:tentative="1">
      <w:start w:val="1"/>
      <w:numFmt w:val="bullet"/>
      <w:lvlText w:val=""/>
      <w:lvlJc w:val="left"/>
      <w:pPr>
        <w:tabs>
          <w:tab w:val="num" w:pos="3600"/>
        </w:tabs>
        <w:ind w:left="3600" w:hanging="360"/>
      </w:pPr>
      <w:rPr>
        <w:rFonts w:ascii="Wingdings 2" w:hAnsi="Wingdings 2" w:hint="default"/>
      </w:rPr>
    </w:lvl>
    <w:lvl w:ilvl="5" w:tplc="845635A6" w:tentative="1">
      <w:start w:val="1"/>
      <w:numFmt w:val="bullet"/>
      <w:lvlText w:val=""/>
      <w:lvlJc w:val="left"/>
      <w:pPr>
        <w:tabs>
          <w:tab w:val="num" w:pos="4320"/>
        </w:tabs>
        <w:ind w:left="4320" w:hanging="360"/>
      </w:pPr>
      <w:rPr>
        <w:rFonts w:ascii="Wingdings 2" w:hAnsi="Wingdings 2" w:hint="default"/>
      </w:rPr>
    </w:lvl>
    <w:lvl w:ilvl="6" w:tplc="9D682B70" w:tentative="1">
      <w:start w:val="1"/>
      <w:numFmt w:val="bullet"/>
      <w:lvlText w:val=""/>
      <w:lvlJc w:val="left"/>
      <w:pPr>
        <w:tabs>
          <w:tab w:val="num" w:pos="5040"/>
        </w:tabs>
        <w:ind w:left="5040" w:hanging="360"/>
      </w:pPr>
      <w:rPr>
        <w:rFonts w:ascii="Wingdings 2" w:hAnsi="Wingdings 2" w:hint="default"/>
      </w:rPr>
    </w:lvl>
    <w:lvl w:ilvl="7" w:tplc="E0BC1350" w:tentative="1">
      <w:start w:val="1"/>
      <w:numFmt w:val="bullet"/>
      <w:lvlText w:val=""/>
      <w:lvlJc w:val="left"/>
      <w:pPr>
        <w:tabs>
          <w:tab w:val="num" w:pos="5760"/>
        </w:tabs>
        <w:ind w:left="5760" w:hanging="360"/>
      </w:pPr>
      <w:rPr>
        <w:rFonts w:ascii="Wingdings 2" w:hAnsi="Wingdings 2" w:hint="default"/>
      </w:rPr>
    </w:lvl>
    <w:lvl w:ilvl="8" w:tplc="4940729A"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6A1056"/>
    <w:multiLevelType w:val="hybridMultilevel"/>
    <w:tmpl w:val="DABE3568"/>
    <w:lvl w:ilvl="0" w:tplc="4C082416">
      <w:start w:val="1"/>
      <w:numFmt w:val="bullet"/>
      <w:lvlText w:val=""/>
      <w:lvlJc w:val="left"/>
      <w:pPr>
        <w:tabs>
          <w:tab w:val="num" w:pos="720"/>
        </w:tabs>
        <w:ind w:left="720" w:hanging="360"/>
      </w:pPr>
      <w:rPr>
        <w:rFonts w:ascii="Wingdings 2" w:hAnsi="Wingdings 2" w:hint="default"/>
      </w:rPr>
    </w:lvl>
    <w:lvl w:ilvl="1" w:tplc="B81EEA0E" w:tentative="1">
      <w:start w:val="1"/>
      <w:numFmt w:val="bullet"/>
      <w:lvlText w:val=""/>
      <w:lvlJc w:val="left"/>
      <w:pPr>
        <w:tabs>
          <w:tab w:val="num" w:pos="1440"/>
        </w:tabs>
        <w:ind w:left="1440" w:hanging="360"/>
      </w:pPr>
      <w:rPr>
        <w:rFonts w:ascii="Wingdings 2" w:hAnsi="Wingdings 2" w:hint="default"/>
      </w:rPr>
    </w:lvl>
    <w:lvl w:ilvl="2" w:tplc="B5AC1598" w:tentative="1">
      <w:start w:val="1"/>
      <w:numFmt w:val="bullet"/>
      <w:lvlText w:val=""/>
      <w:lvlJc w:val="left"/>
      <w:pPr>
        <w:tabs>
          <w:tab w:val="num" w:pos="2160"/>
        </w:tabs>
        <w:ind w:left="2160" w:hanging="360"/>
      </w:pPr>
      <w:rPr>
        <w:rFonts w:ascii="Wingdings 2" w:hAnsi="Wingdings 2" w:hint="default"/>
      </w:rPr>
    </w:lvl>
    <w:lvl w:ilvl="3" w:tplc="A86A5DDE" w:tentative="1">
      <w:start w:val="1"/>
      <w:numFmt w:val="bullet"/>
      <w:lvlText w:val=""/>
      <w:lvlJc w:val="left"/>
      <w:pPr>
        <w:tabs>
          <w:tab w:val="num" w:pos="2880"/>
        </w:tabs>
        <w:ind w:left="2880" w:hanging="360"/>
      </w:pPr>
      <w:rPr>
        <w:rFonts w:ascii="Wingdings 2" w:hAnsi="Wingdings 2" w:hint="default"/>
      </w:rPr>
    </w:lvl>
    <w:lvl w:ilvl="4" w:tplc="739C84A8" w:tentative="1">
      <w:start w:val="1"/>
      <w:numFmt w:val="bullet"/>
      <w:lvlText w:val=""/>
      <w:lvlJc w:val="left"/>
      <w:pPr>
        <w:tabs>
          <w:tab w:val="num" w:pos="3600"/>
        </w:tabs>
        <w:ind w:left="3600" w:hanging="360"/>
      </w:pPr>
      <w:rPr>
        <w:rFonts w:ascii="Wingdings 2" w:hAnsi="Wingdings 2" w:hint="default"/>
      </w:rPr>
    </w:lvl>
    <w:lvl w:ilvl="5" w:tplc="C3BEDDA4" w:tentative="1">
      <w:start w:val="1"/>
      <w:numFmt w:val="bullet"/>
      <w:lvlText w:val=""/>
      <w:lvlJc w:val="left"/>
      <w:pPr>
        <w:tabs>
          <w:tab w:val="num" w:pos="4320"/>
        </w:tabs>
        <w:ind w:left="4320" w:hanging="360"/>
      </w:pPr>
      <w:rPr>
        <w:rFonts w:ascii="Wingdings 2" w:hAnsi="Wingdings 2" w:hint="default"/>
      </w:rPr>
    </w:lvl>
    <w:lvl w:ilvl="6" w:tplc="9790F3F8" w:tentative="1">
      <w:start w:val="1"/>
      <w:numFmt w:val="bullet"/>
      <w:lvlText w:val=""/>
      <w:lvlJc w:val="left"/>
      <w:pPr>
        <w:tabs>
          <w:tab w:val="num" w:pos="5040"/>
        </w:tabs>
        <w:ind w:left="5040" w:hanging="360"/>
      </w:pPr>
      <w:rPr>
        <w:rFonts w:ascii="Wingdings 2" w:hAnsi="Wingdings 2" w:hint="default"/>
      </w:rPr>
    </w:lvl>
    <w:lvl w:ilvl="7" w:tplc="F5347326" w:tentative="1">
      <w:start w:val="1"/>
      <w:numFmt w:val="bullet"/>
      <w:lvlText w:val=""/>
      <w:lvlJc w:val="left"/>
      <w:pPr>
        <w:tabs>
          <w:tab w:val="num" w:pos="5760"/>
        </w:tabs>
        <w:ind w:left="5760" w:hanging="360"/>
      </w:pPr>
      <w:rPr>
        <w:rFonts w:ascii="Wingdings 2" w:hAnsi="Wingdings 2" w:hint="default"/>
      </w:rPr>
    </w:lvl>
    <w:lvl w:ilvl="8" w:tplc="059202CC"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9053DB"/>
    <w:multiLevelType w:val="hybridMultilevel"/>
    <w:tmpl w:val="8C762B50"/>
    <w:lvl w:ilvl="0" w:tplc="18EA3A6A">
      <w:start w:val="1"/>
      <w:numFmt w:val="bullet"/>
      <w:lvlText w:val=""/>
      <w:lvlJc w:val="left"/>
      <w:pPr>
        <w:tabs>
          <w:tab w:val="num" w:pos="720"/>
        </w:tabs>
        <w:ind w:left="720" w:hanging="360"/>
      </w:pPr>
      <w:rPr>
        <w:rFonts w:ascii="Wingdings 2" w:hAnsi="Wingdings 2" w:hint="default"/>
      </w:rPr>
    </w:lvl>
    <w:lvl w:ilvl="1" w:tplc="40DEFA8C" w:tentative="1">
      <w:start w:val="1"/>
      <w:numFmt w:val="bullet"/>
      <w:lvlText w:val=""/>
      <w:lvlJc w:val="left"/>
      <w:pPr>
        <w:tabs>
          <w:tab w:val="num" w:pos="1440"/>
        </w:tabs>
        <w:ind w:left="1440" w:hanging="360"/>
      </w:pPr>
      <w:rPr>
        <w:rFonts w:ascii="Wingdings 2" w:hAnsi="Wingdings 2" w:hint="default"/>
      </w:rPr>
    </w:lvl>
    <w:lvl w:ilvl="2" w:tplc="5E681E38" w:tentative="1">
      <w:start w:val="1"/>
      <w:numFmt w:val="bullet"/>
      <w:lvlText w:val=""/>
      <w:lvlJc w:val="left"/>
      <w:pPr>
        <w:tabs>
          <w:tab w:val="num" w:pos="2160"/>
        </w:tabs>
        <w:ind w:left="2160" w:hanging="360"/>
      </w:pPr>
      <w:rPr>
        <w:rFonts w:ascii="Wingdings 2" w:hAnsi="Wingdings 2" w:hint="default"/>
      </w:rPr>
    </w:lvl>
    <w:lvl w:ilvl="3" w:tplc="CA8A8D02" w:tentative="1">
      <w:start w:val="1"/>
      <w:numFmt w:val="bullet"/>
      <w:lvlText w:val=""/>
      <w:lvlJc w:val="left"/>
      <w:pPr>
        <w:tabs>
          <w:tab w:val="num" w:pos="2880"/>
        </w:tabs>
        <w:ind w:left="2880" w:hanging="360"/>
      </w:pPr>
      <w:rPr>
        <w:rFonts w:ascii="Wingdings 2" w:hAnsi="Wingdings 2" w:hint="default"/>
      </w:rPr>
    </w:lvl>
    <w:lvl w:ilvl="4" w:tplc="20082156" w:tentative="1">
      <w:start w:val="1"/>
      <w:numFmt w:val="bullet"/>
      <w:lvlText w:val=""/>
      <w:lvlJc w:val="left"/>
      <w:pPr>
        <w:tabs>
          <w:tab w:val="num" w:pos="3600"/>
        </w:tabs>
        <w:ind w:left="3600" w:hanging="360"/>
      </w:pPr>
      <w:rPr>
        <w:rFonts w:ascii="Wingdings 2" w:hAnsi="Wingdings 2" w:hint="default"/>
      </w:rPr>
    </w:lvl>
    <w:lvl w:ilvl="5" w:tplc="559A7330" w:tentative="1">
      <w:start w:val="1"/>
      <w:numFmt w:val="bullet"/>
      <w:lvlText w:val=""/>
      <w:lvlJc w:val="left"/>
      <w:pPr>
        <w:tabs>
          <w:tab w:val="num" w:pos="4320"/>
        </w:tabs>
        <w:ind w:left="4320" w:hanging="360"/>
      </w:pPr>
      <w:rPr>
        <w:rFonts w:ascii="Wingdings 2" w:hAnsi="Wingdings 2" w:hint="default"/>
      </w:rPr>
    </w:lvl>
    <w:lvl w:ilvl="6" w:tplc="669CDF20" w:tentative="1">
      <w:start w:val="1"/>
      <w:numFmt w:val="bullet"/>
      <w:lvlText w:val=""/>
      <w:lvlJc w:val="left"/>
      <w:pPr>
        <w:tabs>
          <w:tab w:val="num" w:pos="5040"/>
        </w:tabs>
        <w:ind w:left="5040" w:hanging="360"/>
      </w:pPr>
      <w:rPr>
        <w:rFonts w:ascii="Wingdings 2" w:hAnsi="Wingdings 2" w:hint="default"/>
      </w:rPr>
    </w:lvl>
    <w:lvl w:ilvl="7" w:tplc="87A8CAD6" w:tentative="1">
      <w:start w:val="1"/>
      <w:numFmt w:val="bullet"/>
      <w:lvlText w:val=""/>
      <w:lvlJc w:val="left"/>
      <w:pPr>
        <w:tabs>
          <w:tab w:val="num" w:pos="5760"/>
        </w:tabs>
        <w:ind w:left="5760" w:hanging="360"/>
      </w:pPr>
      <w:rPr>
        <w:rFonts w:ascii="Wingdings 2" w:hAnsi="Wingdings 2" w:hint="default"/>
      </w:rPr>
    </w:lvl>
    <w:lvl w:ilvl="8" w:tplc="05B66AD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6"/>
  </w:num>
  <w:num w:numId="10">
    <w:abstractNumId w:val="1"/>
  </w:num>
  <w:num w:numId="11">
    <w:abstractNumId w:val="11"/>
  </w:num>
  <w:num w:numId="12">
    <w:abstractNumId w:val="33"/>
  </w:num>
  <w:num w:numId="13">
    <w:abstractNumId w:val="42"/>
  </w:num>
  <w:num w:numId="14">
    <w:abstractNumId w:val="45"/>
  </w:num>
  <w:num w:numId="15">
    <w:abstractNumId w:val="37"/>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39"/>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9"/>
  </w:num>
  <w:num w:numId="38">
    <w:abstractNumId w:val="38"/>
  </w:num>
  <w:num w:numId="39">
    <w:abstractNumId w:val="18"/>
  </w:num>
  <w:num w:numId="40">
    <w:abstractNumId w:val="14"/>
  </w:num>
  <w:num w:numId="41">
    <w:abstractNumId w:val="24"/>
  </w:num>
  <w:num w:numId="42">
    <w:abstractNumId w:val="41"/>
  </w:num>
  <w:num w:numId="43">
    <w:abstractNumId w:val="10"/>
  </w:num>
  <w:num w:numId="44">
    <w:abstractNumId w:val="34"/>
  </w:num>
  <w:num w:numId="45">
    <w:abstractNumId w:val="17"/>
  </w:num>
  <w:num w:numId="46">
    <w:abstractNumId w:val="5"/>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2EC3"/>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2BCA"/>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4F2C"/>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0EC"/>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417F"/>
    <w:rsid w:val="00A356BD"/>
    <w:rsid w:val="00A36B83"/>
    <w:rsid w:val="00A36D78"/>
    <w:rsid w:val="00A41B8B"/>
    <w:rsid w:val="00A42D53"/>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182F"/>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0B41"/>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C12"/>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AEA"/>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0034619">
      <w:bodyDiv w:val="1"/>
      <w:marLeft w:val="0"/>
      <w:marRight w:val="0"/>
      <w:marTop w:val="0"/>
      <w:marBottom w:val="0"/>
      <w:divBdr>
        <w:top w:val="none" w:sz="0" w:space="0" w:color="auto"/>
        <w:left w:val="none" w:sz="0" w:space="0" w:color="auto"/>
        <w:bottom w:val="none" w:sz="0" w:space="0" w:color="auto"/>
        <w:right w:val="none" w:sz="0" w:space="0" w:color="auto"/>
      </w:divBdr>
      <w:divsChild>
        <w:div w:id="465782182">
          <w:marLeft w:val="576"/>
          <w:marRight w:val="0"/>
          <w:marTop w:val="120"/>
          <w:marBottom w:val="0"/>
          <w:divBdr>
            <w:top w:val="none" w:sz="0" w:space="0" w:color="auto"/>
            <w:left w:val="none" w:sz="0" w:space="0" w:color="auto"/>
            <w:bottom w:val="none" w:sz="0" w:space="0" w:color="auto"/>
            <w:right w:val="none" w:sz="0" w:space="0" w:color="auto"/>
          </w:divBdr>
        </w:div>
        <w:div w:id="323246567">
          <w:marLeft w:val="576"/>
          <w:marRight w:val="0"/>
          <w:marTop w:val="120"/>
          <w:marBottom w:val="0"/>
          <w:divBdr>
            <w:top w:val="none" w:sz="0" w:space="0" w:color="auto"/>
            <w:left w:val="none" w:sz="0" w:space="0" w:color="auto"/>
            <w:bottom w:val="none" w:sz="0" w:space="0" w:color="auto"/>
            <w:right w:val="none" w:sz="0" w:space="0" w:color="auto"/>
          </w:divBdr>
        </w:div>
        <w:div w:id="437601931">
          <w:marLeft w:val="576"/>
          <w:marRight w:val="0"/>
          <w:marTop w:val="120"/>
          <w:marBottom w:val="0"/>
          <w:divBdr>
            <w:top w:val="none" w:sz="0" w:space="0" w:color="auto"/>
            <w:left w:val="none" w:sz="0" w:space="0" w:color="auto"/>
            <w:bottom w:val="none" w:sz="0" w:space="0" w:color="auto"/>
            <w:right w:val="none" w:sz="0" w:space="0" w:color="auto"/>
          </w:divBdr>
        </w:div>
        <w:div w:id="1510023646">
          <w:marLeft w:val="576"/>
          <w:marRight w:val="0"/>
          <w:marTop w:val="120"/>
          <w:marBottom w:val="0"/>
          <w:divBdr>
            <w:top w:val="none" w:sz="0" w:space="0" w:color="auto"/>
            <w:left w:val="none" w:sz="0" w:space="0" w:color="auto"/>
            <w:bottom w:val="none" w:sz="0" w:space="0" w:color="auto"/>
            <w:right w:val="none" w:sz="0" w:space="0" w:color="auto"/>
          </w:divBdr>
        </w:div>
        <w:div w:id="171646823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1317619">
      <w:bodyDiv w:val="1"/>
      <w:marLeft w:val="0"/>
      <w:marRight w:val="0"/>
      <w:marTop w:val="0"/>
      <w:marBottom w:val="0"/>
      <w:divBdr>
        <w:top w:val="none" w:sz="0" w:space="0" w:color="auto"/>
        <w:left w:val="none" w:sz="0" w:space="0" w:color="auto"/>
        <w:bottom w:val="none" w:sz="0" w:space="0" w:color="auto"/>
        <w:right w:val="none" w:sz="0" w:space="0" w:color="auto"/>
      </w:divBdr>
      <w:divsChild>
        <w:div w:id="1386949584">
          <w:marLeft w:val="576"/>
          <w:marRight w:val="0"/>
          <w:marTop w:val="120"/>
          <w:marBottom w:val="0"/>
          <w:divBdr>
            <w:top w:val="none" w:sz="0" w:space="0" w:color="auto"/>
            <w:left w:val="none" w:sz="0" w:space="0" w:color="auto"/>
            <w:bottom w:val="none" w:sz="0" w:space="0" w:color="auto"/>
            <w:right w:val="none" w:sz="0" w:space="0" w:color="auto"/>
          </w:divBdr>
        </w:div>
        <w:div w:id="1917205485">
          <w:marLeft w:val="576"/>
          <w:marRight w:val="0"/>
          <w:marTop w:val="120"/>
          <w:marBottom w:val="0"/>
          <w:divBdr>
            <w:top w:val="none" w:sz="0" w:space="0" w:color="auto"/>
            <w:left w:val="none" w:sz="0" w:space="0" w:color="auto"/>
            <w:bottom w:val="none" w:sz="0" w:space="0" w:color="auto"/>
            <w:right w:val="none" w:sz="0" w:space="0" w:color="auto"/>
          </w:divBdr>
        </w:div>
        <w:div w:id="45954726">
          <w:marLeft w:val="576"/>
          <w:marRight w:val="0"/>
          <w:marTop w:val="120"/>
          <w:marBottom w:val="0"/>
          <w:divBdr>
            <w:top w:val="none" w:sz="0" w:space="0" w:color="auto"/>
            <w:left w:val="none" w:sz="0" w:space="0" w:color="auto"/>
            <w:bottom w:val="none" w:sz="0" w:space="0" w:color="auto"/>
            <w:right w:val="none" w:sz="0" w:space="0" w:color="auto"/>
          </w:divBdr>
        </w:div>
        <w:div w:id="31156546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079187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9790065">
      <w:bodyDiv w:val="1"/>
      <w:marLeft w:val="0"/>
      <w:marRight w:val="0"/>
      <w:marTop w:val="0"/>
      <w:marBottom w:val="0"/>
      <w:divBdr>
        <w:top w:val="none" w:sz="0" w:space="0" w:color="auto"/>
        <w:left w:val="none" w:sz="0" w:space="0" w:color="auto"/>
        <w:bottom w:val="none" w:sz="0" w:space="0" w:color="auto"/>
        <w:right w:val="none" w:sz="0" w:space="0" w:color="auto"/>
      </w:divBdr>
      <w:divsChild>
        <w:div w:id="303512748">
          <w:marLeft w:val="576"/>
          <w:marRight w:val="0"/>
          <w:marTop w:val="120"/>
          <w:marBottom w:val="0"/>
          <w:divBdr>
            <w:top w:val="none" w:sz="0" w:space="0" w:color="auto"/>
            <w:left w:val="none" w:sz="0" w:space="0" w:color="auto"/>
            <w:bottom w:val="none" w:sz="0" w:space="0" w:color="auto"/>
            <w:right w:val="none" w:sz="0" w:space="0" w:color="auto"/>
          </w:divBdr>
        </w:div>
        <w:div w:id="979847450">
          <w:marLeft w:val="576"/>
          <w:marRight w:val="0"/>
          <w:marTop w:val="120"/>
          <w:marBottom w:val="0"/>
          <w:divBdr>
            <w:top w:val="none" w:sz="0" w:space="0" w:color="auto"/>
            <w:left w:val="none" w:sz="0" w:space="0" w:color="auto"/>
            <w:bottom w:val="none" w:sz="0" w:space="0" w:color="auto"/>
            <w:right w:val="none" w:sz="0" w:space="0" w:color="auto"/>
          </w:divBdr>
        </w:div>
        <w:div w:id="366489305">
          <w:marLeft w:val="576"/>
          <w:marRight w:val="0"/>
          <w:marTop w:val="120"/>
          <w:marBottom w:val="0"/>
          <w:divBdr>
            <w:top w:val="none" w:sz="0" w:space="0" w:color="auto"/>
            <w:left w:val="none" w:sz="0" w:space="0" w:color="auto"/>
            <w:bottom w:val="none" w:sz="0" w:space="0" w:color="auto"/>
            <w:right w:val="none" w:sz="0" w:space="0" w:color="auto"/>
          </w:divBdr>
        </w:div>
      </w:divsChild>
    </w:div>
    <w:div w:id="1095322764">
      <w:bodyDiv w:val="1"/>
      <w:marLeft w:val="0"/>
      <w:marRight w:val="0"/>
      <w:marTop w:val="0"/>
      <w:marBottom w:val="0"/>
      <w:divBdr>
        <w:top w:val="none" w:sz="0" w:space="0" w:color="auto"/>
        <w:left w:val="none" w:sz="0" w:space="0" w:color="auto"/>
        <w:bottom w:val="none" w:sz="0" w:space="0" w:color="auto"/>
        <w:right w:val="none" w:sz="0" w:space="0" w:color="auto"/>
      </w:divBdr>
      <w:divsChild>
        <w:div w:id="2033874891">
          <w:marLeft w:val="576"/>
          <w:marRight w:val="0"/>
          <w:marTop w:val="120"/>
          <w:marBottom w:val="0"/>
          <w:divBdr>
            <w:top w:val="none" w:sz="0" w:space="0" w:color="auto"/>
            <w:left w:val="none" w:sz="0" w:space="0" w:color="auto"/>
            <w:bottom w:val="none" w:sz="0" w:space="0" w:color="auto"/>
            <w:right w:val="none" w:sz="0" w:space="0" w:color="auto"/>
          </w:divBdr>
        </w:div>
        <w:div w:id="1202015694">
          <w:marLeft w:val="576"/>
          <w:marRight w:val="0"/>
          <w:marTop w:val="120"/>
          <w:marBottom w:val="0"/>
          <w:divBdr>
            <w:top w:val="none" w:sz="0" w:space="0" w:color="auto"/>
            <w:left w:val="none" w:sz="0" w:space="0" w:color="auto"/>
            <w:bottom w:val="none" w:sz="0" w:space="0" w:color="auto"/>
            <w:right w:val="none" w:sz="0" w:space="0" w:color="auto"/>
          </w:divBdr>
        </w:div>
        <w:div w:id="1758207773">
          <w:marLeft w:val="576"/>
          <w:marRight w:val="0"/>
          <w:marTop w:val="120"/>
          <w:marBottom w:val="0"/>
          <w:divBdr>
            <w:top w:val="none" w:sz="0" w:space="0" w:color="auto"/>
            <w:left w:val="none" w:sz="0" w:space="0" w:color="auto"/>
            <w:bottom w:val="none" w:sz="0" w:space="0" w:color="auto"/>
            <w:right w:val="none" w:sz="0" w:space="0" w:color="auto"/>
          </w:divBdr>
        </w:div>
        <w:div w:id="977757259">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7925231">
      <w:bodyDiv w:val="1"/>
      <w:marLeft w:val="0"/>
      <w:marRight w:val="0"/>
      <w:marTop w:val="0"/>
      <w:marBottom w:val="0"/>
      <w:divBdr>
        <w:top w:val="none" w:sz="0" w:space="0" w:color="auto"/>
        <w:left w:val="none" w:sz="0" w:space="0" w:color="auto"/>
        <w:bottom w:val="none" w:sz="0" w:space="0" w:color="auto"/>
        <w:right w:val="none" w:sz="0" w:space="0" w:color="auto"/>
      </w:divBdr>
    </w:div>
    <w:div w:id="1268343222">
      <w:bodyDiv w:val="1"/>
      <w:marLeft w:val="0"/>
      <w:marRight w:val="0"/>
      <w:marTop w:val="0"/>
      <w:marBottom w:val="0"/>
      <w:divBdr>
        <w:top w:val="none" w:sz="0" w:space="0" w:color="auto"/>
        <w:left w:val="none" w:sz="0" w:space="0" w:color="auto"/>
        <w:bottom w:val="none" w:sz="0" w:space="0" w:color="auto"/>
        <w:right w:val="none" w:sz="0" w:space="0" w:color="auto"/>
      </w:divBdr>
      <w:divsChild>
        <w:div w:id="1122646927">
          <w:marLeft w:val="576"/>
          <w:marRight w:val="0"/>
          <w:marTop w:val="120"/>
          <w:marBottom w:val="0"/>
          <w:divBdr>
            <w:top w:val="none" w:sz="0" w:space="0" w:color="auto"/>
            <w:left w:val="none" w:sz="0" w:space="0" w:color="auto"/>
            <w:bottom w:val="none" w:sz="0" w:space="0" w:color="auto"/>
            <w:right w:val="none" w:sz="0" w:space="0" w:color="auto"/>
          </w:divBdr>
        </w:div>
        <w:div w:id="1916430036">
          <w:marLeft w:val="576"/>
          <w:marRight w:val="0"/>
          <w:marTop w:val="120"/>
          <w:marBottom w:val="0"/>
          <w:divBdr>
            <w:top w:val="none" w:sz="0" w:space="0" w:color="auto"/>
            <w:left w:val="none" w:sz="0" w:space="0" w:color="auto"/>
            <w:bottom w:val="none" w:sz="0" w:space="0" w:color="auto"/>
            <w:right w:val="none" w:sz="0" w:space="0" w:color="auto"/>
          </w:divBdr>
        </w:div>
        <w:div w:id="2131387788">
          <w:marLeft w:val="576"/>
          <w:marRight w:val="0"/>
          <w:marTop w:val="120"/>
          <w:marBottom w:val="0"/>
          <w:divBdr>
            <w:top w:val="none" w:sz="0" w:space="0" w:color="auto"/>
            <w:left w:val="none" w:sz="0" w:space="0" w:color="auto"/>
            <w:bottom w:val="none" w:sz="0" w:space="0" w:color="auto"/>
            <w:right w:val="none" w:sz="0" w:space="0" w:color="auto"/>
          </w:divBdr>
        </w:div>
        <w:div w:id="1105809409">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743254">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491033">
      <w:bodyDiv w:val="1"/>
      <w:marLeft w:val="0"/>
      <w:marRight w:val="0"/>
      <w:marTop w:val="0"/>
      <w:marBottom w:val="0"/>
      <w:divBdr>
        <w:top w:val="none" w:sz="0" w:space="0" w:color="auto"/>
        <w:left w:val="none" w:sz="0" w:space="0" w:color="auto"/>
        <w:bottom w:val="none" w:sz="0" w:space="0" w:color="auto"/>
        <w:right w:val="none" w:sz="0" w:space="0" w:color="auto"/>
      </w:divBdr>
      <w:divsChild>
        <w:div w:id="196356095">
          <w:marLeft w:val="576"/>
          <w:marRight w:val="0"/>
          <w:marTop w:val="120"/>
          <w:marBottom w:val="0"/>
          <w:divBdr>
            <w:top w:val="none" w:sz="0" w:space="0" w:color="auto"/>
            <w:left w:val="none" w:sz="0" w:space="0" w:color="auto"/>
            <w:bottom w:val="none" w:sz="0" w:space="0" w:color="auto"/>
            <w:right w:val="none" w:sz="0" w:space="0" w:color="auto"/>
          </w:divBdr>
        </w:div>
        <w:div w:id="1829903220">
          <w:marLeft w:val="576"/>
          <w:marRight w:val="0"/>
          <w:marTop w:val="120"/>
          <w:marBottom w:val="0"/>
          <w:divBdr>
            <w:top w:val="none" w:sz="0" w:space="0" w:color="auto"/>
            <w:left w:val="none" w:sz="0" w:space="0" w:color="auto"/>
            <w:bottom w:val="none" w:sz="0" w:space="0" w:color="auto"/>
            <w:right w:val="none" w:sz="0" w:space="0" w:color="auto"/>
          </w:divBdr>
        </w:div>
        <w:div w:id="1045762409">
          <w:marLeft w:val="576"/>
          <w:marRight w:val="0"/>
          <w:marTop w:val="120"/>
          <w:marBottom w:val="0"/>
          <w:divBdr>
            <w:top w:val="none" w:sz="0" w:space="0" w:color="auto"/>
            <w:left w:val="none" w:sz="0" w:space="0" w:color="auto"/>
            <w:bottom w:val="none" w:sz="0" w:space="0" w:color="auto"/>
            <w:right w:val="none" w:sz="0" w:space="0" w:color="auto"/>
          </w:divBdr>
        </w:div>
        <w:div w:id="1978489141">
          <w:marLeft w:val="576"/>
          <w:marRight w:val="0"/>
          <w:marTop w:val="120"/>
          <w:marBottom w:val="0"/>
          <w:divBdr>
            <w:top w:val="none" w:sz="0" w:space="0" w:color="auto"/>
            <w:left w:val="none" w:sz="0" w:space="0" w:color="auto"/>
            <w:bottom w:val="none" w:sz="0" w:space="0" w:color="auto"/>
            <w:right w:val="none" w:sz="0" w:space="0" w:color="auto"/>
          </w:divBdr>
        </w:div>
        <w:div w:id="1861967494">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14</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2021-05-27T09:20:00Z</dcterms:modified>
</cp:coreProperties>
</file>