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8113B" w:rsidRDefault="0008113B" w:rsidP="0008113B">
      <w:pPr>
        <w:spacing w:line="360" w:lineRule="auto"/>
        <w:jc w:val="center"/>
        <w:rPr>
          <w:rFonts w:ascii="Times New Roman" w:hAnsi="Times New Roman" w:cs="Times New Roman"/>
          <w:b/>
          <w:sz w:val="48"/>
          <w:szCs w:val="48"/>
        </w:rPr>
      </w:pPr>
      <w:r w:rsidRPr="0008113B">
        <w:rPr>
          <w:rFonts w:ascii="Times New Roman" w:hAnsi="Times New Roman" w:cs="Times New Roman"/>
          <w:b/>
          <w:sz w:val="48"/>
          <w:szCs w:val="48"/>
        </w:rPr>
        <w:t>Design and Comparison of Auxiliary Resonance controllers for Mitigating Modal Resonance of Power Systems Integrated with Wind Generation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8113B" w:rsidRDefault="0008113B" w:rsidP="00E53AA4">
      <w:pPr>
        <w:spacing w:line="360" w:lineRule="auto"/>
        <w:jc w:val="both"/>
        <w:rPr>
          <w:rFonts w:ascii="Times New Roman" w:hAnsi="Times New Roman" w:cs="Times New Roman"/>
          <w:b/>
          <w:sz w:val="32"/>
          <w:szCs w:val="32"/>
        </w:rPr>
      </w:pPr>
      <w:r w:rsidRPr="0008113B">
        <w:rPr>
          <w:rFonts w:ascii="Times New Roman" w:hAnsi="Times New Roman" w:cs="Times New Roman"/>
          <w:sz w:val="32"/>
          <w:szCs w:val="32"/>
        </w:rPr>
        <w:t>Full converter-based wind power generation (FCWG, e.g., a permanent magnet synchronous generator (PMSG)), though normally considered to be decoupled from the external power grid can be actuated as an inertia source to suppress modal resonance in wind generation penetrated power systems by installing auxiliary resonance controllers (ARCs). In this paper, three possible options for ARC installation are first identified based on some derivations of the conventional control model of FCWG. The damping support mechanism of ARC is revealed, a suitable and generic configuration structure of ARC is then established, and optimal parameter tuning is conducted on the basis of this ARC configuration. The three ARC alternatives are equipped to contribute to damping by utilizing the potential energy and dynamics hidden in different inertia source components (i.e., the wind turbine rotor and DC capacitor, respectively) of FCWG. Both modal analysis and simulation results validate the effectiveness of the three proposed ARCs in suppressing modal resonance and improving system oscillation stability. Most importantly, extensive comparison investigations are carried out to fully evaluate the pros and cons of the three ARCs and thus provide constructive application guidance for system operators and wind farm owners.</w:t>
      </w:r>
    </w:p>
    <w:p w:rsidR="00845895" w:rsidRDefault="00845895" w:rsidP="00E53AA4">
      <w:pPr>
        <w:spacing w:line="360" w:lineRule="auto"/>
        <w:jc w:val="both"/>
        <w:rPr>
          <w:rFonts w:ascii="Times New Roman" w:hAnsi="Times New Roman" w:cs="Times New Roman"/>
          <w:b/>
          <w:sz w:val="40"/>
          <w:szCs w:val="40"/>
        </w:rPr>
      </w:pPr>
    </w:p>
    <w:p w:rsidR="00491919" w:rsidRDefault="001C4FD2" w:rsidP="0008113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E1FBD" w:rsidRDefault="009622BB" w:rsidP="001E1FBD">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1E1FBD">
        <w:rPr>
          <w:rFonts w:ascii="Times New Roman" w:hAnsi="Times New Roman" w:cs="Times New Roman"/>
          <w:sz w:val="32"/>
          <w:szCs w:val="32"/>
          <w:lang w:val="en-IN"/>
        </w:rPr>
        <w:t xml:space="preserve">This </w:t>
      </w:r>
      <w:r w:rsidRPr="001E1FBD">
        <w:rPr>
          <w:rFonts w:ascii="Times New Roman" w:hAnsi="Times New Roman" w:cs="Times New Roman"/>
          <w:sz w:val="32"/>
          <w:szCs w:val="32"/>
          <w:lang w:val="en-IN"/>
        </w:rPr>
        <w:t>paper discusses issues related to the integration of wind farms in the power system, such as maximum power point tracking, fault ride-through capabilities, interarea and subsynchronous oscillations, and voltage flicker, and provides a review of the existin</w:t>
      </w:r>
      <w:r w:rsidRPr="001E1FBD">
        <w:rPr>
          <w:rFonts w:ascii="Times New Roman" w:hAnsi="Times New Roman" w:cs="Times New Roman"/>
          <w:sz w:val="32"/>
          <w:szCs w:val="32"/>
          <w:lang w:val="en-IN"/>
        </w:rPr>
        <w:t>g control strategies to address these issues in Types I, II, III, and IV wind turbines.</w:t>
      </w:r>
    </w:p>
    <w:p w:rsidR="00000000" w:rsidRPr="001E1FBD" w:rsidRDefault="009622BB" w:rsidP="001E1FBD">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1E1FBD">
        <w:rPr>
          <w:rFonts w:ascii="Times New Roman" w:hAnsi="Times New Roman" w:cs="Times New Roman"/>
          <w:sz w:val="32"/>
          <w:szCs w:val="32"/>
          <w:lang w:val="en-IN"/>
        </w:rPr>
        <w:t>A comprehensive review of existing supplementary control approaches for wind energy systems.</w:t>
      </w:r>
    </w:p>
    <w:p w:rsidR="00000000" w:rsidRPr="001E1FBD" w:rsidRDefault="009622BB" w:rsidP="001E1FBD">
      <w:pPr>
        <w:pStyle w:val="ListParagraph"/>
        <w:numPr>
          <w:ilvl w:val="0"/>
          <w:numId w:val="47"/>
        </w:numPr>
        <w:autoSpaceDE w:val="0"/>
        <w:autoSpaceDN w:val="0"/>
        <w:adjustRightInd w:val="0"/>
        <w:spacing w:line="240" w:lineRule="auto"/>
        <w:jc w:val="both"/>
        <w:rPr>
          <w:rFonts w:ascii="Times New Roman" w:hAnsi="Times New Roman" w:cs="Times New Roman"/>
          <w:sz w:val="32"/>
          <w:szCs w:val="32"/>
          <w:lang w:val="en-IN"/>
        </w:rPr>
      </w:pPr>
      <w:r w:rsidRPr="001E1FBD">
        <w:rPr>
          <w:rFonts w:ascii="Times New Roman" w:hAnsi="Times New Roman" w:cs="Times New Roman"/>
          <w:sz w:val="32"/>
          <w:szCs w:val="32"/>
          <w:lang w:val="en-IN"/>
        </w:rPr>
        <w:t xml:space="preserve">The potential advantages and disadvantages of the existing supplementary </w:t>
      </w:r>
      <w:r w:rsidRPr="001E1FBD">
        <w:rPr>
          <w:rFonts w:ascii="Times New Roman" w:hAnsi="Times New Roman" w:cs="Times New Roman"/>
          <w:sz w:val="32"/>
          <w:szCs w:val="32"/>
          <w:lang w:val="en-IN"/>
        </w:rPr>
        <w:t>controllers to improve the MPPT and LVRT capabilities and mitigate SSR and voltage flicker for a Type I wind system.</w:t>
      </w:r>
      <w:r w:rsidRPr="001E1FB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96D4E" w:rsidRDefault="009622BB" w:rsidP="00796D4E">
      <w:pPr>
        <w:numPr>
          <w:ilvl w:val="0"/>
          <w:numId w:val="44"/>
        </w:numPr>
        <w:spacing w:line="360" w:lineRule="auto"/>
        <w:jc w:val="both"/>
        <w:rPr>
          <w:rFonts w:ascii="Times New Roman" w:hAnsi="Times New Roman" w:cs="Times New Roman"/>
          <w:bCs/>
          <w:sz w:val="32"/>
          <w:szCs w:val="32"/>
          <w:lang w:val="en-IN"/>
        </w:rPr>
      </w:pPr>
      <w:r w:rsidRPr="00796D4E">
        <w:rPr>
          <w:rFonts w:ascii="Times New Roman" w:hAnsi="Times New Roman" w:cs="Times New Roman"/>
          <w:bCs/>
          <w:sz w:val="32"/>
          <w:szCs w:val="32"/>
          <w:lang w:val="en-IN"/>
        </w:rPr>
        <w:t>FCWG is responsible for modal resonance for two reasons: 1) the detrimental moda</w:t>
      </w:r>
      <w:r w:rsidRPr="00796D4E">
        <w:rPr>
          <w:rFonts w:ascii="Times New Roman" w:hAnsi="Times New Roman" w:cs="Times New Roman"/>
          <w:bCs/>
          <w:sz w:val="32"/>
          <w:szCs w:val="32"/>
          <w:lang w:val="en-IN"/>
        </w:rPr>
        <w:t xml:space="preserve">l resonance may occur due to improper parameter setting of FCWG or unexpected operating conditions and 2) modal resonance may not only jeopardize the system damping but also affect the dynamic performance of FCWG itself, which may incur a critical trip or </w:t>
      </w:r>
      <w:r w:rsidRPr="00796D4E">
        <w:rPr>
          <w:rFonts w:ascii="Times New Roman" w:hAnsi="Times New Roman" w:cs="Times New Roman"/>
          <w:bCs/>
          <w:sz w:val="32"/>
          <w:szCs w:val="32"/>
          <w:lang w:val="en-IN"/>
        </w:rPr>
        <w:t xml:space="preserve">asset damage and hence considerable economic losses related to wind farms. </w:t>
      </w:r>
    </w:p>
    <w:p w:rsidR="00000000" w:rsidRPr="00796D4E" w:rsidRDefault="009622BB" w:rsidP="00796D4E">
      <w:pPr>
        <w:numPr>
          <w:ilvl w:val="0"/>
          <w:numId w:val="44"/>
        </w:numPr>
        <w:spacing w:line="360" w:lineRule="auto"/>
        <w:jc w:val="both"/>
        <w:rPr>
          <w:rFonts w:ascii="Times New Roman" w:hAnsi="Times New Roman" w:cs="Times New Roman"/>
          <w:bCs/>
          <w:sz w:val="32"/>
          <w:szCs w:val="32"/>
          <w:lang w:val="en-IN"/>
        </w:rPr>
      </w:pPr>
      <w:r w:rsidRPr="00796D4E">
        <w:rPr>
          <w:rFonts w:ascii="Times New Roman" w:hAnsi="Times New Roman" w:cs="Times New Roman"/>
          <w:bCs/>
          <w:sz w:val="32"/>
          <w:szCs w:val="32"/>
          <w:lang w:val="en-IN"/>
        </w:rPr>
        <w:t>In traditional power systems dominated by thermal power, if the system damping is not sufficient then conventional synchronous generators (CSGs) can be equipped with damping contr</w:t>
      </w:r>
      <w:r w:rsidRPr="00796D4E">
        <w:rPr>
          <w:rFonts w:ascii="Times New Roman" w:hAnsi="Times New Roman" w:cs="Times New Roman"/>
          <w:bCs/>
          <w:sz w:val="32"/>
          <w:szCs w:val="32"/>
          <w:lang w:val="en-IN"/>
        </w:rPr>
        <w:t xml:space="preserve">ollers (such </w:t>
      </w:r>
      <w:r w:rsidRPr="00796D4E">
        <w:rPr>
          <w:rFonts w:ascii="Times New Roman" w:hAnsi="Times New Roman" w:cs="Times New Roman"/>
          <w:bCs/>
          <w:sz w:val="32"/>
          <w:szCs w:val="32"/>
          <w:lang w:val="en-IN"/>
        </w:rPr>
        <w:lastRenderedPageBreak/>
        <w:t>as power system stabilizer (PSS)) to provide damping support for the power system</w:t>
      </w:r>
      <w:r w:rsidRPr="00796D4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E1FBD" w:rsidRPr="001E1FBD" w:rsidRDefault="001E1FBD" w:rsidP="001E1FBD">
      <w:pPr>
        <w:pStyle w:val="NormalWeb"/>
        <w:numPr>
          <w:ilvl w:val="0"/>
          <w:numId w:val="46"/>
        </w:numPr>
        <w:spacing w:before="0" w:beforeAutospacing="0" w:after="0" w:afterAutospacing="0" w:line="360" w:lineRule="auto"/>
        <w:ind w:left="142" w:firstLine="0"/>
        <w:jc w:val="both"/>
        <w:rPr>
          <w:sz w:val="32"/>
          <w:szCs w:val="32"/>
        </w:rPr>
      </w:pPr>
      <w:r w:rsidRPr="001E1FBD">
        <w:rPr>
          <w:sz w:val="32"/>
          <w:szCs w:val="32"/>
        </w:rPr>
        <w:t>On this basis, a modal shift evaluation (MSE) method by using bilateral damping torque analysis is proposed to accurately quantify the interaction effect of POMs and EOMs on each other and effectively explain their complex interaction process.</w:t>
      </w:r>
    </w:p>
    <w:p w:rsidR="001E1FBD" w:rsidRPr="001E1FBD" w:rsidRDefault="001E1FBD" w:rsidP="001E1FBD">
      <w:pPr>
        <w:pStyle w:val="NormalWeb"/>
        <w:numPr>
          <w:ilvl w:val="0"/>
          <w:numId w:val="46"/>
        </w:numPr>
        <w:spacing w:before="0" w:beforeAutospacing="0" w:after="0" w:afterAutospacing="0" w:line="360" w:lineRule="auto"/>
        <w:ind w:left="142" w:firstLine="0"/>
        <w:jc w:val="both"/>
        <w:rPr>
          <w:sz w:val="32"/>
          <w:szCs w:val="32"/>
        </w:rPr>
      </w:pPr>
      <w:r w:rsidRPr="001E1FBD">
        <w:rPr>
          <w:sz w:val="32"/>
          <w:szCs w:val="32"/>
        </w:rPr>
        <w:t>A general theory of interaction of eigenvalues is proposed in, where the strong and weak interactions are identified with their geometric interpretation on the complex plane.</w:t>
      </w:r>
    </w:p>
    <w:p w:rsidR="00BB3207" w:rsidRDefault="001E1FBD" w:rsidP="001E1FBD">
      <w:pPr>
        <w:pStyle w:val="NormalWeb"/>
        <w:numPr>
          <w:ilvl w:val="0"/>
          <w:numId w:val="46"/>
        </w:numPr>
        <w:spacing w:before="0" w:beforeAutospacing="0" w:after="0" w:afterAutospacing="0" w:line="360" w:lineRule="auto"/>
        <w:ind w:left="142" w:firstLine="0"/>
        <w:jc w:val="both"/>
        <w:rPr>
          <w:sz w:val="32"/>
          <w:szCs w:val="32"/>
        </w:rPr>
      </w:pPr>
      <w:r w:rsidRPr="001E1FBD">
        <w:rPr>
          <w:sz w:val="32"/>
          <w:szCs w:val="32"/>
        </w:rPr>
        <w:t>The resonance excitation index (REI) is also proposed to imply the intensity of modal interactions and plays as a valuable tool in the MIO.</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96D4E" w:rsidRDefault="009622BB" w:rsidP="00796D4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6D4E">
        <w:rPr>
          <w:rFonts w:ascii="Times New Roman" w:eastAsia="AdvGulliv-R" w:hAnsi="Times New Roman" w:cs="Times New Roman"/>
          <w:bCs/>
          <w:sz w:val="32"/>
          <w:szCs w:val="32"/>
          <w:lang w:val="en-IN"/>
        </w:rPr>
        <w:t xml:space="preserve">To achieve better dynamic performance as well as maximize the capture of wind power, wind </w:t>
      </w:r>
      <w:r w:rsidRPr="00796D4E">
        <w:rPr>
          <w:rFonts w:ascii="Times New Roman" w:eastAsia="AdvGulliv-R" w:hAnsi="Times New Roman" w:cs="Times New Roman"/>
          <w:bCs/>
          <w:sz w:val="32"/>
          <w:szCs w:val="32"/>
          <w:lang w:val="en-IN"/>
        </w:rPr>
        <w:t xml:space="preserve">farm owners normally adopt conservative control strategies instead of providing damping support for the external power system. </w:t>
      </w:r>
    </w:p>
    <w:p w:rsidR="00000000" w:rsidRPr="00796D4E" w:rsidRDefault="009622BB" w:rsidP="00796D4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6D4E">
        <w:rPr>
          <w:rFonts w:ascii="Times New Roman" w:eastAsia="AdvGulliv-R" w:hAnsi="Times New Roman" w:cs="Times New Roman"/>
          <w:bCs/>
          <w:sz w:val="32"/>
          <w:szCs w:val="32"/>
          <w:lang w:val="en-IN"/>
        </w:rPr>
        <w:t>Therefore, FCWG may be viewed as a favorable renewable energy but its contribution to power system oscillation stability is nor</w:t>
      </w:r>
      <w:r w:rsidRPr="00796D4E">
        <w:rPr>
          <w:rFonts w:ascii="Times New Roman" w:eastAsia="AdvGulliv-R" w:hAnsi="Times New Roman" w:cs="Times New Roman"/>
          <w:bCs/>
          <w:sz w:val="32"/>
          <w:szCs w:val="32"/>
          <w:lang w:val="en-IN"/>
        </w:rPr>
        <w:t>mally considered to be weak or even negative.</w:t>
      </w:r>
    </w:p>
    <w:p w:rsidR="00000000" w:rsidRPr="00796D4E" w:rsidRDefault="009622BB" w:rsidP="00796D4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6D4E">
        <w:rPr>
          <w:rFonts w:ascii="Times New Roman" w:eastAsia="AdvGulliv-R" w:hAnsi="Times New Roman" w:cs="Times New Roman"/>
          <w:bCs/>
          <w:sz w:val="32"/>
          <w:szCs w:val="32"/>
          <w:lang w:val="en-IN"/>
        </w:rPr>
        <w:t>PLL releases its angle signal to other parts (e.g., GSC) and guides the synchronization of FCWG, and thus its output plays an important role in the overall performance of FCWG.</w:t>
      </w:r>
    </w:p>
    <w:p w:rsidR="00000000" w:rsidRPr="00796D4E" w:rsidRDefault="009622BB" w:rsidP="00796D4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6D4E">
        <w:rPr>
          <w:rFonts w:ascii="Times New Roman" w:eastAsia="AdvGulliv-R" w:hAnsi="Times New Roman" w:cs="Times New Roman"/>
          <w:bCs/>
          <w:sz w:val="32"/>
          <w:szCs w:val="32"/>
          <w:lang w:val="en-IN"/>
        </w:rPr>
        <w:lastRenderedPageBreak/>
        <w:t xml:space="preserve">The parameters of ARC have key </w:t>
      </w:r>
      <w:r w:rsidRPr="00796D4E">
        <w:rPr>
          <w:rFonts w:ascii="Times New Roman" w:eastAsia="AdvGulliv-R" w:hAnsi="Times New Roman" w:cs="Times New Roman"/>
          <w:bCs/>
          <w:sz w:val="32"/>
          <w:szCs w:val="32"/>
          <w:lang w:val="en-IN"/>
        </w:rPr>
        <w:t>importance on the performance in damping support, and thus should be carefully tuned.</w:t>
      </w:r>
      <w:r w:rsidRPr="00796D4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Control Strategy to Mitigate the Impact of Reduced Inertia Due to Doubly Fed Induction Generators on Large Power Systems</w:t>
            </w:r>
          </w:p>
        </w:tc>
        <w:tc>
          <w:tcPr>
            <w:tcW w:w="3192" w:type="dxa"/>
          </w:tcPr>
          <w:p w:rsidR="000C407B" w:rsidRPr="001E1FBD" w:rsidRDefault="001E1FBD" w:rsidP="001E1FBD">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 xml:space="preserve">D. Gautam, L. Goel, R. Ayyanar, V. Vittal, and T. Harbour, </w:t>
            </w:r>
          </w:p>
        </w:tc>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color w:val="333333"/>
                <w:sz w:val="28"/>
                <w:szCs w:val="28"/>
                <w:shd w:val="clear" w:color="auto" w:fill="FFFFFF"/>
              </w:rPr>
              <w:t>The present work is based on developing a control strategy to mitigate the impact of reduced inertia due to significant DFIG penetration in a large power system. </w:t>
            </w:r>
          </w:p>
        </w:tc>
      </w:tr>
      <w:tr w:rsidR="000C407B" w:rsidTr="000C407B">
        <w:trPr>
          <w:trHeight w:val="2942"/>
        </w:trPr>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Wind Power Dispatch Margin for Flexible Energy and Reserve Scheduling With Increased Wind Generation</w:t>
            </w:r>
          </w:p>
        </w:tc>
        <w:tc>
          <w:tcPr>
            <w:tcW w:w="3192" w:type="dxa"/>
          </w:tcPr>
          <w:p w:rsidR="000C407B" w:rsidRPr="001E1FBD" w:rsidRDefault="001E1FBD" w:rsidP="001E1FBD">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 xml:space="preserve">M. Hedayati-Mehdiabadi, J. Zhang, and K. W. Hedman, </w:t>
            </w:r>
          </w:p>
        </w:tc>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color w:val="333333"/>
                <w:sz w:val="28"/>
                <w:szCs w:val="28"/>
                <w:shd w:val="clear" w:color="auto" w:fill="FFFFFF"/>
              </w:rPr>
              <w:t> In this paper, a combined flexible dispatch and reserve scheduling policy is proposed by determining a flexible wind dispatch margin.</w:t>
            </w:r>
          </w:p>
        </w:tc>
      </w:tr>
      <w:tr w:rsidR="000C407B" w:rsidTr="000C407B">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Impact of Tie-Line Power on Inter-Area Modes With Increased Penetration of Wind Power</w:t>
            </w:r>
          </w:p>
        </w:tc>
        <w:tc>
          <w:tcPr>
            <w:tcW w:w="3192" w:type="dxa"/>
          </w:tcPr>
          <w:p w:rsidR="000C407B" w:rsidRPr="001E1FBD" w:rsidRDefault="001E1FBD" w:rsidP="001E1FBD">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 xml:space="preserve">M. Garmroodi, D. J. Hill, G. Verbic, and J. Ma, </w:t>
            </w:r>
          </w:p>
        </w:tc>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color w:val="333333"/>
                <w:sz w:val="28"/>
                <w:szCs w:val="28"/>
                <w:shd w:val="clear" w:color="auto" w:fill="FFFFFF"/>
              </w:rPr>
              <w:t>This paper studies the impact of displacing conventional synchronous generators with wind turbine generators (WTGs) on the damping of inter-area modes</w:t>
            </w:r>
          </w:p>
        </w:tc>
      </w:tr>
      <w:tr w:rsidR="000C407B" w:rsidTr="000C407B">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t xml:space="preserve">The Wind Farm Aggregation Impact on </w:t>
            </w:r>
            <w:r w:rsidRPr="001E1FBD">
              <w:rPr>
                <w:rFonts w:ascii="Times New Roman" w:hAnsi="Times New Roman" w:cs="Times New Roman"/>
                <w:sz w:val="28"/>
                <w:szCs w:val="28"/>
              </w:rPr>
              <w:lastRenderedPageBreak/>
              <w:t>Power Quality</w:t>
            </w:r>
          </w:p>
        </w:tc>
        <w:tc>
          <w:tcPr>
            <w:tcW w:w="3192" w:type="dxa"/>
          </w:tcPr>
          <w:p w:rsidR="000C407B" w:rsidRPr="001E1FBD" w:rsidRDefault="001E1FBD" w:rsidP="001E1FBD">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sz w:val="28"/>
                <w:szCs w:val="28"/>
              </w:rPr>
              <w:lastRenderedPageBreak/>
              <w:t xml:space="preserve">J. T. Bialasiewicz and E. Muljadi, </w:t>
            </w:r>
          </w:p>
        </w:tc>
        <w:tc>
          <w:tcPr>
            <w:tcW w:w="3192" w:type="dxa"/>
          </w:tcPr>
          <w:p w:rsidR="000C407B" w:rsidRPr="001E1FBD" w:rsidRDefault="001E1FBD" w:rsidP="00E53AA4">
            <w:pPr>
              <w:tabs>
                <w:tab w:val="left" w:pos="720"/>
              </w:tabs>
              <w:spacing w:after="100" w:line="360" w:lineRule="auto"/>
              <w:jc w:val="both"/>
              <w:rPr>
                <w:rFonts w:ascii="Times New Roman" w:hAnsi="Times New Roman" w:cs="Times New Roman"/>
                <w:sz w:val="28"/>
                <w:szCs w:val="28"/>
              </w:rPr>
            </w:pPr>
            <w:r w:rsidRPr="001E1FBD">
              <w:rPr>
                <w:rFonts w:ascii="Times New Roman" w:hAnsi="Times New Roman" w:cs="Times New Roman"/>
                <w:color w:val="333333"/>
                <w:sz w:val="28"/>
                <w:szCs w:val="28"/>
                <w:shd w:val="clear" w:color="auto" w:fill="FFFFFF"/>
              </w:rPr>
              <w:t xml:space="preserve"> In a wind farm, many wind turbines feed power </w:t>
            </w:r>
            <w:r w:rsidRPr="001E1FBD">
              <w:rPr>
                <w:rFonts w:ascii="Times New Roman" w:hAnsi="Times New Roman" w:cs="Times New Roman"/>
                <w:color w:val="333333"/>
                <w:sz w:val="28"/>
                <w:szCs w:val="28"/>
                <w:shd w:val="clear" w:color="auto" w:fill="FFFFFF"/>
              </w:rPr>
              <w:lastRenderedPageBreak/>
              <w:t>into the power grid at the point of common coupling.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08113B" w:rsidRDefault="0008113B" w:rsidP="008D125C">
      <w:pPr>
        <w:pStyle w:val="Heading6"/>
        <w:tabs>
          <w:tab w:val="left" w:pos="2160"/>
        </w:tabs>
        <w:spacing w:line="360" w:lineRule="auto"/>
        <w:rPr>
          <w:rFonts w:ascii="Times New Roman" w:hAnsi="Times New Roman" w:cs="Times New Roman"/>
          <w:b/>
          <w:i w:val="0"/>
          <w:color w:val="auto"/>
          <w:sz w:val="28"/>
          <w:szCs w:val="28"/>
        </w:rPr>
      </w:pPr>
    </w:p>
    <w:p w:rsidR="008D125C" w:rsidRPr="008D125C" w:rsidRDefault="008D125C" w:rsidP="008D125C"/>
    <w:p w:rsidR="00305BF0" w:rsidRPr="00D81E16" w:rsidRDefault="00305BF0" w:rsidP="0008113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8113B" w:rsidRDefault="00405E73" w:rsidP="00E53AA4">
      <w:pPr>
        <w:spacing w:after="0" w:line="360" w:lineRule="auto"/>
        <w:jc w:val="both"/>
        <w:rPr>
          <w:rFonts w:ascii="Times New Roman" w:hAnsi="Times New Roman" w:cs="Times New Roman"/>
          <w:b/>
          <w:sz w:val="40"/>
          <w:szCs w:val="40"/>
        </w:rPr>
      </w:pPr>
      <w:r w:rsidRPr="0008113B">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96D4E" w:rsidP="00E53AA4">
      <w:pPr>
        <w:spacing w:after="0" w:line="360" w:lineRule="auto"/>
        <w:jc w:val="both"/>
        <w:rPr>
          <w:rFonts w:ascii="Times New Roman" w:hAnsi="Times New Roman" w:cs="Times New Roman"/>
        </w:rPr>
      </w:pPr>
      <w:r w:rsidRPr="00796D4E">
        <w:rPr>
          <w:rFonts w:ascii="Times New Roman" w:hAnsi="Times New Roman" w:cs="Times New Roman"/>
        </w:rPr>
        <w:drawing>
          <wp:inline distT="0" distB="0" distL="0" distR="0">
            <wp:extent cx="5939727" cy="4752975"/>
            <wp:effectExtent l="19050" t="0" r="3873"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756074"/>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08113B" w:rsidRPr="003B2D25" w:rsidRDefault="00D81E16" w:rsidP="003B2D25">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8D125C" w:rsidRDefault="008D125C" w:rsidP="00E53AA4">
      <w:pPr>
        <w:spacing w:before="100" w:after="100" w:line="360" w:lineRule="auto"/>
        <w:jc w:val="both"/>
        <w:rPr>
          <w:rFonts w:ascii="Times New Roman" w:hAnsi="Times New Roman" w:cs="Times New Roman"/>
          <w:b/>
          <w:noProof/>
          <w:sz w:val="28"/>
          <w:szCs w:val="28"/>
        </w:rPr>
      </w:pPr>
    </w:p>
    <w:p w:rsidR="0000536F" w:rsidRPr="003B2D25" w:rsidRDefault="0000536F" w:rsidP="003B2D25">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08113B" w:rsidRDefault="0008113B" w:rsidP="00E53AA4">
      <w:pPr>
        <w:pStyle w:val="BodyText"/>
        <w:rPr>
          <w:b/>
          <w:iCs/>
          <w:sz w:val="32"/>
          <w:szCs w:val="32"/>
        </w:rPr>
      </w:pPr>
      <w:r w:rsidRPr="0008113B">
        <w:rPr>
          <w:sz w:val="32"/>
          <w:szCs w:val="32"/>
        </w:rPr>
        <w:t>This study proposed three options for auxiliary damping controllers for FCWG. The appropriate configuration of an ARC is carefully designed, which establishes a path to provide significant damping support. ARC parameter tuning is also implemented to facilitate industry applications. Optimal ARC parameters can be adjusted by the MOPSO algorithm to improve the modal interactions between the power grid and wind generation. With ARC installation, the detrimental modal resonance between FCWG and the external power system has been transformed to the beneficial modal counteraction, which validates the effectiveness of the proposed ARCs in suppressing modal resonance and reinforcing the oscillation stability. The comparison study elaborates on the different performances of the three ARCs and gives a general assessment for ARC selection. In addition, application suggestions are also recommended for the benefit of system operators and wind farm owners.</w:t>
      </w:r>
    </w:p>
    <w:p w:rsidR="003C0F6F" w:rsidRDefault="003C0F6F" w:rsidP="00E53AA4">
      <w:pPr>
        <w:pStyle w:val="BodyText"/>
        <w:rPr>
          <w:b/>
          <w:iCs/>
          <w:sz w:val="28"/>
          <w:szCs w:val="28"/>
        </w:rPr>
      </w:pPr>
    </w:p>
    <w:p w:rsidR="0008113B"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08113B" w:rsidRDefault="0008113B" w:rsidP="00E53AA4">
      <w:pPr>
        <w:pStyle w:val="BodyText"/>
        <w:rPr>
          <w:b/>
          <w:iCs/>
          <w:sz w:val="28"/>
          <w:szCs w:val="28"/>
        </w:rPr>
      </w:pPr>
    </w:p>
    <w:p w:rsidR="0008113B" w:rsidRDefault="0008113B" w:rsidP="00E53AA4">
      <w:pPr>
        <w:pStyle w:val="BodyText"/>
        <w:rPr>
          <w:b/>
          <w:iCs/>
          <w:sz w:val="28"/>
          <w:szCs w:val="28"/>
        </w:rPr>
      </w:pPr>
    </w:p>
    <w:p w:rsidR="0008113B" w:rsidRDefault="0008113B" w:rsidP="00E53AA4">
      <w:pPr>
        <w:pStyle w:val="BodyText"/>
        <w:rPr>
          <w:b/>
          <w:iCs/>
          <w:sz w:val="28"/>
          <w:szCs w:val="28"/>
        </w:rPr>
      </w:pPr>
    </w:p>
    <w:p w:rsidR="0008113B" w:rsidRDefault="0008113B" w:rsidP="00E53AA4">
      <w:pPr>
        <w:pStyle w:val="BodyText"/>
        <w:rPr>
          <w:b/>
          <w:iCs/>
          <w:sz w:val="28"/>
          <w:szCs w:val="28"/>
        </w:rPr>
      </w:pPr>
    </w:p>
    <w:p w:rsidR="0008113B" w:rsidRDefault="0008113B" w:rsidP="00E53AA4">
      <w:pPr>
        <w:pStyle w:val="BodyText"/>
        <w:rPr>
          <w:b/>
          <w:iCs/>
          <w:sz w:val="28"/>
          <w:szCs w:val="28"/>
        </w:rPr>
      </w:pPr>
    </w:p>
    <w:p w:rsidR="0008113B" w:rsidRDefault="0008113B" w:rsidP="00E53AA4">
      <w:pPr>
        <w:pStyle w:val="BodyText"/>
        <w:rPr>
          <w:b/>
          <w:iCs/>
          <w:sz w:val="28"/>
          <w:szCs w:val="28"/>
        </w:rPr>
      </w:pPr>
    </w:p>
    <w:p w:rsidR="0008113B" w:rsidRDefault="0008113B" w:rsidP="00E53AA4">
      <w:pPr>
        <w:pStyle w:val="BodyText"/>
        <w:rPr>
          <w:b/>
          <w:iCs/>
          <w:sz w:val="28"/>
          <w:szCs w:val="28"/>
        </w:rPr>
      </w:pPr>
    </w:p>
    <w:p w:rsidR="00370D47" w:rsidRPr="003C0F6F" w:rsidRDefault="00370D47" w:rsidP="0008113B">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8113B" w:rsidRDefault="009622BB" w:rsidP="0008113B">
      <w:pPr>
        <w:pStyle w:val="BodyText"/>
        <w:numPr>
          <w:ilvl w:val="0"/>
          <w:numId w:val="42"/>
        </w:numPr>
        <w:rPr>
          <w:sz w:val="32"/>
          <w:szCs w:val="32"/>
          <w:lang w:val="en-IN"/>
        </w:rPr>
      </w:pPr>
      <w:r w:rsidRPr="0008113B">
        <w:rPr>
          <w:sz w:val="32"/>
          <w:szCs w:val="32"/>
          <w:lang w:val="en-IN"/>
        </w:rPr>
        <w:t>[1] D. Gautam, L. Goel, R. Ayyanar, V. Vittal, and T. Harbour, "C</w:t>
      </w:r>
      <w:r w:rsidRPr="0008113B">
        <w:rPr>
          <w:sz w:val="32"/>
          <w:szCs w:val="32"/>
          <w:lang w:val="en-IN"/>
        </w:rPr>
        <w:t xml:space="preserve">ontrol Strategy to Mitigate the Impact of Reduced Inertia Due to Doubly Fed Induction Generators on Large Power Systems," IEEE Trans. Power Syst., vol. 26, no. 1, pp. 214-224, 2011. </w:t>
      </w:r>
    </w:p>
    <w:p w:rsidR="00000000" w:rsidRPr="0008113B" w:rsidRDefault="009622BB" w:rsidP="0008113B">
      <w:pPr>
        <w:pStyle w:val="BodyText"/>
        <w:numPr>
          <w:ilvl w:val="0"/>
          <w:numId w:val="42"/>
        </w:numPr>
        <w:rPr>
          <w:sz w:val="32"/>
          <w:szCs w:val="32"/>
          <w:lang w:val="en-IN"/>
        </w:rPr>
      </w:pPr>
      <w:r w:rsidRPr="0008113B">
        <w:rPr>
          <w:sz w:val="32"/>
          <w:szCs w:val="32"/>
          <w:lang w:val="en-IN"/>
        </w:rPr>
        <w:t>[2] M. Hedayati-Mehdiabadi, J. Zhang, and K. W. Hedman, "Wind Power Disp</w:t>
      </w:r>
      <w:r w:rsidRPr="0008113B">
        <w:rPr>
          <w:sz w:val="32"/>
          <w:szCs w:val="32"/>
          <w:lang w:val="en-IN"/>
        </w:rPr>
        <w:t xml:space="preserve">atch Margin for Flexible Energy and Reserve Scheduling With Increased Wind Generation," IEEE Trans. Sustainable Energy, vol. 6, no. 4, pp. 1543-1552, 2015. </w:t>
      </w:r>
    </w:p>
    <w:p w:rsidR="00000000" w:rsidRPr="0008113B" w:rsidRDefault="009622BB" w:rsidP="0008113B">
      <w:pPr>
        <w:pStyle w:val="BodyText"/>
        <w:numPr>
          <w:ilvl w:val="0"/>
          <w:numId w:val="42"/>
        </w:numPr>
        <w:rPr>
          <w:sz w:val="32"/>
          <w:szCs w:val="32"/>
          <w:lang w:val="en-IN"/>
        </w:rPr>
      </w:pPr>
      <w:r w:rsidRPr="0008113B">
        <w:rPr>
          <w:sz w:val="32"/>
          <w:szCs w:val="32"/>
          <w:lang w:val="en-IN"/>
        </w:rPr>
        <w:t xml:space="preserve">[3] M. Garmroodi, D. J. Hill, G. Verbic, and J. Ma, "Impact of Tie-Line Power on Inter-Area Modes </w:t>
      </w:r>
      <w:r w:rsidRPr="0008113B">
        <w:rPr>
          <w:sz w:val="32"/>
          <w:szCs w:val="32"/>
          <w:lang w:val="en-IN"/>
        </w:rPr>
        <w:t xml:space="preserve">With Increased Penetration of Wind Power," IEEE Trans. Power Syst., vol. 31, no. 4, pp. 3051-3059, 2016. </w:t>
      </w:r>
    </w:p>
    <w:p w:rsidR="00000000" w:rsidRPr="0008113B" w:rsidRDefault="009622BB" w:rsidP="0008113B">
      <w:pPr>
        <w:pStyle w:val="BodyText"/>
        <w:numPr>
          <w:ilvl w:val="0"/>
          <w:numId w:val="42"/>
        </w:numPr>
        <w:rPr>
          <w:sz w:val="32"/>
          <w:szCs w:val="32"/>
          <w:lang w:val="en-IN"/>
        </w:rPr>
      </w:pPr>
      <w:r w:rsidRPr="0008113B">
        <w:rPr>
          <w:sz w:val="32"/>
          <w:szCs w:val="32"/>
          <w:lang w:val="en-IN"/>
        </w:rPr>
        <w:t>[4] J. T. Bialasiewicz and E. Muljadi, "The Wind Farm Aggregation Impact on Power Quality," in IECON 2006 - 32nd Annual Conference on IEEE Industrial</w:t>
      </w:r>
      <w:r w:rsidRPr="0008113B">
        <w:rPr>
          <w:sz w:val="32"/>
          <w:szCs w:val="32"/>
          <w:lang w:val="en-IN"/>
        </w:rPr>
        <w:t xml:space="preserve"> Electronics, 2006, pp. 4195-4200. </w:t>
      </w:r>
    </w:p>
    <w:p w:rsidR="00000000" w:rsidRPr="0008113B" w:rsidRDefault="009622BB" w:rsidP="0008113B">
      <w:pPr>
        <w:pStyle w:val="BodyText"/>
        <w:numPr>
          <w:ilvl w:val="0"/>
          <w:numId w:val="42"/>
        </w:numPr>
        <w:rPr>
          <w:sz w:val="32"/>
          <w:szCs w:val="32"/>
          <w:lang w:val="en-IN"/>
        </w:rPr>
      </w:pPr>
      <w:r w:rsidRPr="0008113B">
        <w:rPr>
          <w:sz w:val="32"/>
          <w:szCs w:val="32"/>
          <w:lang w:val="en-IN"/>
        </w:rPr>
        <w:t>[5] W. Du, H. Wang, and S. Bu, Small-Signal Stability Analysis of Power Systems Integrated with Variable Speed Wind Generators. Springer, 2018.</w:t>
      </w:r>
      <w:r w:rsidRPr="0008113B">
        <w:rPr>
          <w:sz w:val="32"/>
          <w:szCs w:val="32"/>
        </w:rPr>
        <w:t xml:space="preserve"> </w:t>
      </w:r>
    </w:p>
    <w:p w:rsidR="00000000" w:rsidRPr="0008113B" w:rsidRDefault="009622BB" w:rsidP="0008113B">
      <w:pPr>
        <w:pStyle w:val="BodyText"/>
        <w:numPr>
          <w:ilvl w:val="0"/>
          <w:numId w:val="42"/>
        </w:numPr>
        <w:rPr>
          <w:sz w:val="32"/>
          <w:szCs w:val="32"/>
          <w:lang w:val="en-IN"/>
        </w:rPr>
      </w:pPr>
      <w:r w:rsidRPr="0008113B">
        <w:rPr>
          <w:sz w:val="32"/>
          <w:szCs w:val="32"/>
          <w:lang w:val="en-IN"/>
        </w:rPr>
        <w:t>[6] D. Kidd and P. Hassink, "Transmission Operator Perspective of Subsync</w:t>
      </w:r>
      <w:r w:rsidRPr="0008113B">
        <w:rPr>
          <w:sz w:val="32"/>
          <w:szCs w:val="32"/>
          <w:lang w:val="en-IN"/>
        </w:rPr>
        <w:t xml:space="preserve">hronous Interaction," in PES T&amp;D 2012, 2012, pp. 1-3. </w:t>
      </w:r>
    </w:p>
    <w:p w:rsidR="00000000" w:rsidRPr="0008113B" w:rsidRDefault="009622BB" w:rsidP="0008113B">
      <w:pPr>
        <w:pStyle w:val="BodyText"/>
        <w:numPr>
          <w:ilvl w:val="0"/>
          <w:numId w:val="42"/>
        </w:numPr>
        <w:rPr>
          <w:sz w:val="32"/>
          <w:szCs w:val="32"/>
          <w:lang w:val="en-IN"/>
        </w:rPr>
      </w:pPr>
      <w:r w:rsidRPr="0008113B">
        <w:rPr>
          <w:sz w:val="32"/>
          <w:szCs w:val="32"/>
          <w:lang w:val="en-IN"/>
        </w:rPr>
        <w:lastRenderedPageBreak/>
        <w:t xml:space="preserve">[7] J. Sun et al., "Renewable Energy Transmission by HVDC Across the Continent: System Challenges and Opportunities," CSEE J. Power Energy Syst, vol. 3, no. 4, pp. 353-364, 2017. </w:t>
      </w:r>
    </w:p>
    <w:p w:rsidR="00000000" w:rsidRPr="0008113B" w:rsidRDefault="009622BB" w:rsidP="0008113B">
      <w:pPr>
        <w:pStyle w:val="BodyText"/>
        <w:numPr>
          <w:ilvl w:val="0"/>
          <w:numId w:val="42"/>
        </w:numPr>
        <w:rPr>
          <w:sz w:val="32"/>
          <w:szCs w:val="32"/>
          <w:lang w:val="en-IN"/>
        </w:rPr>
      </w:pPr>
      <w:r w:rsidRPr="0008113B">
        <w:rPr>
          <w:sz w:val="32"/>
          <w:szCs w:val="32"/>
          <w:lang w:val="en-IN"/>
        </w:rPr>
        <w:t>[8] "Technical Repo</w:t>
      </w:r>
      <w:r w:rsidRPr="0008113B">
        <w:rPr>
          <w:sz w:val="32"/>
          <w:szCs w:val="32"/>
          <w:lang w:val="en-IN"/>
        </w:rPr>
        <w:t xml:space="preserve">rt on the Events of 9 August 2019," National Grid ESO, Available: https://www.ofgem.gov.uk/system/files/docs/2019/09/eso_technical_rep ort_-_final.pdf. </w:t>
      </w:r>
    </w:p>
    <w:p w:rsidR="00000000" w:rsidRPr="0008113B" w:rsidRDefault="009622BB" w:rsidP="0008113B">
      <w:pPr>
        <w:pStyle w:val="BodyText"/>
        <w:numPr>
          <w:ilvl w:val="0"/>
          <w:numId w:val="42"/>
        </w:numPr>
        <w:rPr>
          <w:sz w:val="32"/>
          <w:szCs w:val="32"/>
          <w:lang w:val="en-IN"/>
        </w:rPr>
      </w:pPr>
      <w:r w:rsidRPr="0008113B">
        <w:rPr>
          <w:sz w:val="32"/>
          <w:szCs w:val="32"/>
          <w:lang w:val="en-IN"/>
        </w:rPr>
        <w:t>[9] J. Luo, S. Bu, J. Zhu, and C. Y. Chung, "Modal Shift Evaluation and Optimization for Resonance Mec</w:t>
      </w:r>
      <w:r w:rsidRPr="0008113B">
        <w:rPr>
          <w:sz w:val="32"/>
          <w:szCs w:val="32"/>
          <w:lang w:val="en-IN"/>
        </w:rPr>
        <w:t xml:space="preserve">hanism Investigation and Mitigation of Power Systems Integrated With FCWG," IEEE Trans. Power Syst., vol. 35, no. 5, pp. 4046-4055, 2020. </w:t>
      </w:r>
    </w:p>
    <w:p w:rsidR="00000000" w:rsidRPr="0008113B" w:rsidRDefault="009622BB" w:rsidP="0008113B">
      <w:pPr>
        <w:pStyle w:val="BodyText"/>
        <w:numPr>
          <w:ilvl w:val="0"/>
          <w:numId w:val="42"/>
        </w:numPr>
        <w:rPr>
          <w:sz w:val="32"/>
          <w:szCs w:val="32"/>
          <w:lang w:val="en-IN"/>
        </w:rPr>
      </w:pPr>
      <w:r w:rsidRPr="0008113B">
        <w:rPr>
          <w:sz w:val="32"/>
          <w:szCs w:val="32"/>
          <w:lang w:val="en-IN"/>
        </w:rPr>
        <w:t>[10] W. Du, X. Chen, and H. Wang, "PLL-Induced Modal Resonance of GridConnected PMSGs With the Power System Electrom</w:t>
      </w:r>
      <w:r w:rsidRPr="0008113B">
        <w:rPr>
          <w:sz w:val="32"/>
          <w:szCs w:val="32"/>
          <w:lang w:val="en-IN"/>
        </w:rPr>
        <w:t xml:space="preserve">echanical Oscillation Modes," IEEE Trans. Sustainable Energy, vol. 8, no. 4, pp. 1581-1591, 2017. </w:t>
      </w:r>
    </w:p>
    <w:p w:rsidR="00F94960" w:rsidRDefault="00F94960" w:rsidP="00E53AA4">
      <w:pPr>
        <w:pStyle w:val="BodyText"/>
        <w:rPr>
          <w:sz w:val="32"/>
          <w:szCs w:val="32"/>
        </w:rPr>
      </w:pPr>
    </w:p>
    <w:p w:rsidR="006E5368" w:rsidRDefault="006E5368" w:rsidP="00E53AA4">
      <w:pPr>
        <w:pStyle w:val="BodyText"/>
        <w:rPr>
          <w:sz w:val="32"/>
          <w:szCs w:val="32"/>
        </w:rPr>
      </w:pPr>
    </w:p>
    <w:p w:rsidR="006E5368" w:rsidRDefault="006E5368" w:rsidP="00E53AA4">
      <w:pPr>
        <w:pStyle w:val="BodyText"/>
        <w:rPr>
          <w:sz w:val="32"/>
          <w:szCs w:val="32"/>
        </w:rPr>
      </w:pPr>
    </w:p>
    <w:p w:rsidR="006E5368" w:rsidRDefault="006E5368" w:rsidP="00E53AA4">
      <w:pPr>
        <w:pStyle w:val="BodyText"/>
        <w:rPr>
          <w:sz w:val="32"/>
          <w:szCs w:val="32"/>
        </w:rPr>
      </w:pPr>
    </w:p>
    <w:p w:rsidR="006E5368" w:rsidRDefault="006E5368" w:rsidP="00E53AA4">
      <w:pPr>
        <w:pStyle w:val="BodyText"/>
        <w:rPr>
          <w:sz w:val="32"/>
          <w:szCs w:val="32"/>
        </w:rPr>
      </w:pPr>
    </w:p>
    <w:p w:rsidR="006E5368" w:rsidRDefault="006E5368" w:rsidP="00E53AA4">
      <w:pPr>
        <w:pStyle w:val="BodyText"/>
        <w:rPr>
          <w:sz w:val="32"/>
          <w:szCs w:val="32"/>
        </w:rPr>
      </w:pPr>
    </w:p>
    <w:p w:rsidR="006E5368" w:rsidRDefault="006E5368" w:rsidP="00E53AA4">
      <w:pPr>
        <w:pStyle w:val="BodyText"/>
        <w:rPr>
          <w:sz w:val="32"/>
          <w:szCs w:val="32"/>
        </w:rPr>
      </w:pPr>
    </w:p>
    <w:p w:rsidR="006E5368" w:rsidRDefault="006E5368" w:rsidP="00E53AA4">
      <w:pPr>
        <w:pStyle w:val="BodyText"/>
        <w:rPr>
          <w:sz w:val="32"/>
          <w:szCs w:val="32"/>
        </w:rPr>
      </w:pPr>
    </w:p>
    <w:sectPr w:rsidR="006E5368"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2BB" w:rsidRDefault="009622BB" w:rsidP="003654DF">
      <w:pPr>
        <w:spacing w:after="0" w:line="240" w:lineRule="auto"/>
      </w:pPr>
      <w:r>
        <w:separator/>
      </w:r>
    </w:p>
  </w:endnote>
  <w:endnote w:type="continuationSeparator" w:id="1">
    <w:p w:rsidR="009622BB" w:rsidRDefault="009622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2BB" w:rsidRDefault="009622BB" w:rsidP="003654DF">
      <w:pPr>
        <w:spacing w:after="0" w:line="240" w:lineRule="auto"/>
      </w:pPr>
      <w:r>
        <w:separator/>
      </w:r>
    </w:p>
  </w:footnote>
  <w:footnote w:type="continuationSeparator" w:id="1">
    <w:p w:rsidR="009622BB" w:rsidRDefault="009622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1F35">
        <w:pPr>
          <w:pStyle w:val="Header"/>
          <w:jc w:val="right"/>
        </w:pPr>
        <w:fldSimple w:instr=" PAGE   \* MERGEFORMAT ">
          <w:r w:rsidR="008D125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F6ED3"/>
    <w:multiLevelType w:val="hybridMultilevel"/>
    <w:tmpl w:val="B7688E7A"/>
    <w:lvl w:ilvl="0" w:tplc="5C42BDC0">
      <w:start w:val="1"/>
      <w:numFmt w:val="bullet"/>
      <w:lvlText w:val=""/>
      <w:lvlJc w:val="left"/>
      <w:pPr>
        <w:tabs>
          <w:tab w:val="num" w:pos="720"/>
        </w:tabs>
        <w:ind w:left="720" w:hanging="360"/>
      </w:pPr>
      <w:rPr>
        <w:rFonts w:ascii="Wingdings 2" w:hAnsi="Wingdings 2" w:hint="default"/>
      </w:rPr>
    </w:lvl>
    <w:lvl w:ilvl="1" w:tplc="01905444" w:tentative="1">
      <w:start w:val="1"/>
      <w:numFmt w:val="bullet"/>
      <w:lvlText w:val=""/>
      <w:lvlJc w:val="left"/>
      <w:pPr>
        <w:tabs>
          <w:tab w:val="num" w:pos="1440"/>
        </w:tabs>
        <w:ind w:left="1440" w:hanging="360"/>
      </w:pPr>
      <w:rPr>
        <w:rFonts w:ascii="Wingdings 2" w:hAnsi="Wingdings 2" w:hint="default"/>
      </w:rPr>
    </w:lvl>
    <w:lvl w:ilvl="2" w:tplc="05141FE4" w:tentative="1">
      <w:start w:val="1"/>
      <w:numFmt w:val="bullet"/>
      <w:lvlText w:val=""/>
      <w:lvlJc w:val="left"/>
      <w:pPr>
        <w:tabs>
          <w:tab w:val="num" w:pos="2160"/>
        </w:tabs>
        <w:ind w:left="2160" w:hanging="360"/>
      </w:pPr>
      <w:rPr>
        <w:rFonts w:ascii="Wingdings 2" w:hAnsi="Wingdings 2" w:hint="default"/>
      </w:rPr>
    </w:lvl>
    <w:lvl w:ilvl="3" w:tplc="C5667764" w:tentative="1">
      <w:start w:val="1"/>
      <w:numFmt w:val="bullet"/>
      <w:lvlText w:val=""/>
      <w:lvlJc w:val="left"/>
      <w:pPr>
        <w:tabs>
          <w:tab w:val="num" w:pos="2880"/>
        </w:tabs>
        <w:ind w:left="2880" w:hanging="360"/>
      </w:pPr>
      <w:rPr>
        <w:rFonts w:ascii="Wingdings 2" w:hAnsi="Wingdings 2" w:hint="default"/>
      </w:rPr>
    </w:lvl>
    <w:lvl w:ilvl="4" w:tplc="B2C6D3FE" w:tentative="1">
      <w:start w:val="1"/>
      <w:numFmt w:val="bullet"/>
      <w:lvlText w:val=""/>
      <w:lvlJc w:val="left"/>
      <w:pPr>
        <w:tabs>
          <w:tab w:val="num" w:pos="3600"/>
        </w:tabs>
        <w:ind w:left="3600" w:hanging="360"/>
      </w:pPr>
      <w:rPr>
        <w:rFonts w:ascii="Wingdings 2" w:hAnsi="Wingdings 2" w:hint="default"/>
      </w:rPr>
    </w:lvl>
    <w:lvl w:ilvl="5" w:tplc="6E9AA4C4" w:tentative="1">
      <w:start w:val="1"/>
      <w:numFmt w:val="bullet"/>
      <w:lvlText w:val=""/>
      <w:lvlJc w:val="left"/>
      <w:pPr>
        <w:tabs>
          <w:tab w:val="num" w:pos="4320"/>
        </w:tabs>
        <w:ind w:left="4320" w:hanging="360"/>
      </w:pPr>
      <w:rPr>
        <w:rFonts w:ascii="Wingdings 2" w:hAnsi="Wingdings 2" w:hint="default"/>
      </w:rPr>
    </w:lvl>
    <w:lvl w:ilvl="6" w:tplc="7898D280" w:tentative="1">
      <w:start w:val="1"/>
      <w:numFmt w:val="bullet"/>
      <w:lvlText w:val=""/>
      <w:lvlJc w:val="left"/>
      <w:pPr>
        <w:tabs>
          <w:tab w:val="num" w:pos="5040"/>
        </w:tabs>
        <w:ind w:left="5040" w:hanging="360"/>
      </w:pPr>
      <w:rPr>
        <w:rFonts w:ascii="Wingdings 2" w:hAnsi="Wingdings 2" w:hint="default"/>
      </w:rPr>
    </w:lvl>
    <w:lvl w:ilvl="7" w:tplc="0D5A8F3E" w:tentative="1">
      <w:start w:val="1"/>
      <w:numFmt w:val="bullet"/>
      <w:lvlText w:val=""/>
      <w:lvlJc w:val="left"/>
      <w:pPr>
        <w:tabs>
          <w:tab w:val="num" w:pos="5760"/>
        </w:tabs>
        <w:ind w:left="5760" w:hanging="360"/>
      </w:pPr>
      <w:rPr>
        <w:rFonts w:ascii="Wingdings 2" w:hAnsi="Wingdings 2" w:hint="default"/>
      </w:rPr>
    </w:lvl>
    <w:lvl w:ilvl="8" w:tplc="B27843E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1D4672"/>
    <w:multiLevelType w:val="hybridMultilevel"/>
    <w:tmpl w:val="94D06458"/>
    <w:lvl w:ilvl="0" w:tplc="F22E7CE2">
      <w:start w:val="1"/>
      <w:numFmt w:val="bullet"/>
      <w:lvlText w:val=""/>
      <w:lvlJc w:val="left"/>
      <w:pPr>
        <w:tabs>
          <w:tab w:val="num" w:pos="720"/>
        </w:tabs>
        <w:ind w:left="720" w:hanging="360"/>
      </w:pPr>
      <w:rPr>
        <w:rFonts w:ascii="Wingdings 2" w:hAnsi="Wingdings 2" w:hint="default"/>
      </w:rPr>
    </w:lvl>
    <w:lvl w:ilvl="1" w:tplc="5E9ABDBC" w:tentative="1">
      <w:start w:val="1"/>
      <w:numFmt w:val="bullet"/>
      <w:lvlText w:val=""/>
      <w:lvlJc w:val="left"/>
      <w:pPr>
        <w:tabs>
          <w:tab w:val="num" w:pos="1440"/>
        </w:tabs>
        <w:ind w:left="1440" w:hanging="360"/>
      </w:pPr>
      <w:rPr>
        <w:rFonts w:ascii="Wingdings 2" w:hAnsi="Wingdings 2" w:hint="default"/>
      </w:rPr>
    </w:lvl>
    <w:lvl w:ilvl="2" w:tplc="4BE29F22" w:tentative="1">
      <w:start w:val="1"/>
      <w:numFmt w:val="bullet"/>
      <w:lvlText w:val=""/>
      <w:lvlJc w:val="left"/>
      <w:pPr>
        <w:tabs>
          <w:tab w:val="num" w:pos="2160"/>
        </w:tabs>
        <w:ind w:left="2160" w:hanging="360"/>
      </w:pPr>
      <w:rPr>
        <w:rFonts w:ascii="Wingdings 2" w:hAnsi="Wingdings 2" w:hint="default"/>
      </w:rPr>
    </w:lvl>
    <w:lvl w:ilvl="3" w:tplc="4E023322" w:tentative="1">
      <w:start w:val="1"/>
      <w:numFmt w:val="bullet"/>
      <w:lvlText w:val=""/>
      <w:lvlJc w:val="left"/>
      <w:pPr>
        <w:tabs>
          <w:tab w:val="num" w:pos="2880"/>
        </w:tabs>
        <w:ind w:left="2880" w:hanging="360"/>
      </w:pPr>
      <w:rPr>
        <w:rFonts w:ascii="Wingdings 2" w:hAnsi="Wingdings 2" w:hint="default"/>
      </w:rPr>
    </w:lvl>
    <w:lvl w:ilvl="4" w:tplc="F37EE796" w:tentative="1">
      <w:start w:val="1"/>
      <w:numFmt w:val="bullet"/>
      <w:lvlText w:val=""/>
      <w:lvlJc w:val="left"/>
      <w:pPr>
        <w:tabs>
          <w:tab w:val="num" w:pos="3600"/>
        </w:tabs>
        <w:ind w:left="3600" w:hanging="360"/>
      </w:pPr>
      <w:rPr>
        <w:rFonts w:ascii="Wingdings 2" w:hAnsi="Wingdings 2" w:hint="default"/>
      </w:rPr>
    </w:lvl>
    <w:lvl w:ilvl="5" w:tplc="2866375C" w:tentative="1">
      <w:start w:val="1"/>
      <w:numFmt w:val="bullet"/>
      <w:lvlText w:val=""/>
      <w:lvlJc w:val="left"/>
      <w:pPr>
        <w:tabs>
          <w:tab w:val="num" w:pos="4320"/>
        </w:tabs>
        <w:ind w:left="4320" w:hanging="360"/>
      </w:pPr>
      <w:rPr>
        <w:rFonts w:ascii="Wingdings 2" w:hAnsi="Wingdings 2" w:hint="default"/>
      </w:rPr>
    </w:lvl>
    <w:lvl w:ilvl="6" w:tplc="1A6031BC" w:tentative="1">
      <w:start w:val="1"/>
      <w:numFmt w:val="bullet"/>
      <w:lvlText w:val=""/>
      <w:lvlJc w:val="left"/>
      <w:pPr>
        <w:tabs>
          <w:tab w:val="num" w:pos="5040"/>
        </w:tabs>
        <w:ind w:left="5040" w:hanging="360"/>
      </w:pPr>
      <w:rPr>
        <w:rFonts w:ascii="Wingdings 2" w:hAnsi="Wingdings 2" w:hint="default"/>
      </w:rPr>
    </w:lvl>
    <w:lvl w:ilvl="7" w:tplc="54745EB6" w:tentative="1">
      <w:start w:val="1"/>
      <w:numFmt w:val="bullet"/>
      <w:lvlText w:val=""/>
      <w:lvlJc w:val="left"/>
      <w:pPr>
        <w:tabs>
          <w:tab w:val="num" w:pos="5760"/>
        </w:tabs>
        <w:ind w:left="5760" w:hanging="360"/>
      </w:pPr>
      <w:rPr>
        <w:rFonts w:ascii="Wingdings 2" w:hAnsi="Wingdings 2" w:hint="default"/>
      </w:rPr>
    </w:lvl>
    <w:lvl w:ilvl="8" w:tplc="F65A8030" w:tentative="1">
      <w:start w:val="1"/>
      <w:numFmt w:val="bullet"/>
      <w:lvlText w:val=""/>
      <w:lvlJc w:val="left"/>
      <w:pPr>
        <w:tabs>
          <w:tab w:val="num" w:pos="6480"/>
        </w:tabs>
        <w:ind w:left="6480" w:hanging="360"/>
      </w:pPr>
      <w:rPr>
        <w:rFonts w:ascii="Wingdings 2" w:hAnsi="Wingdings 2" w:hint="default"/>
      </w:rPr>
    </w:lvl>
  </w:abstractNum>
  <w:abstractNum w:abstractNumId="11">
    <w:nsid w:val="1C5644AD"/>
    <w:multiLevelType w:val="hybridMultilevel"/>
    <w:tmpl w:val="B53433D8"/>
    <w:lvl w:ilvl="0" w:tplc="40465212">
      <w:start w:val="1"/>
      <w:numFmt w:val="bullet"/>
      <w:lvlText w:val=""/>
      <w:lvlJc w:val="left"/>
      <w:pPr>
        <w:tabs>
          <w:tab w:val="num" w:pos="720"/>
        </w:tabs>
        <w:ind w:left="720" w:hanging="360"/>
      </w:pPr>
      <w:rPr>
        <w:rFonts w:ascii="Wingdings 2" w:hAnsi="Wingdings 2" w:hint="default"/>
      </w:rPr>
    </w:lvl>
    <w:lvl w:ilvl="1" w:tplc="135030B4" w:tentative="1">
      <w:start w:val="1"/>
      <w:numFmt w:val="bullet"/>
      <w:lvlText w:val=""/>
      <w:lvlJc w:val="left"/>
      <w:pPr>
        <w:tabs>
          <w:tab w:val="num" w:pos="1440"/>
        </w:tabs>
        <w:ind w:left="1440" w:hanging="360"/>
      </w:pPr>
      <w:rPr>
        <w:rFonts w:ascii="Wingdings 2" w:hAnsi="Wingdings 2" w:hint="default"/>
      </w:rPr>
    </w:lvl>
    <w:lvl w:ilvl="2" w:tplc="E3BE95D2" w:tentative="1">
      <w:start w:val="1"/>
      <w:numFmt w:val="bullet"/>
      <w:lvlText w:val=""/>
      <w:lvlJc w:val="left"/>
      <w:pPr>
        <w:tabs>
          <w:tab w:val="num" w:pos="2160"/>
        </w:tabs>
        <w:ind w:left="2160" w:hanging="360"/>
      </w:pPr>
      <w:rPr>
        <w:rFonts w:ascii="Wingdings 2" w:hAnsi="Wingdings 2" w:hint="default"/>
      </w:rPr>
    </w:lvl>
    <w:lvl w:ilvl="3" w:tplc="0D28042E" w:tentative="1">
      <w:start w:val="1"/>
      <w:numFmt w:val="bullet"/>
      <w:lvlText w:val=""/>
      <w:lvlJc w:val="left"/>
      <w:pPr>
        <w:tabs>
          <w:tab w:val="num" w:pos="2880"/>
        </w:tabs>
        <w:ind w:left="2880" w:hanging="360"/>
      </w:pPr>
      <w:rPr>
        <w:rFonts w:ascii="Wingdings 2" w:hAnsi="Wingdings 2" w:hint="default"/>
      </w:rPr>
    </w:lvl>
    <w:lvl w:ilvl="4" w:tplc="D2D490B4" w:tentative="1">
      <w:start w:val="1"/>
      <w:numFmt w:val="bullet"/>
      <w:lvlText w:val=""/>
      <w:lvlJc w:val="left"/>
      <w:pPr>
        <w:tabs>
          <w:tab w:val="num" w:pos="3600"/>
        </w:tabs>
        <w:ind w:left="3600" w:hanging="360"/>
      </w:pPr>
      <w:rPr>
        <w:rFonts w:ascii="Wingdings 2" w:hAnsi="Wingdings 2" w:hint="default"/>
      </w:rPr>
    </w:lvl>
    <w:lvl w:ilvl="5" w:tplc="B12457E2" w:tentative="1">
      <w:start w:val="1"/>
      <w:numFmt w:val="bullet"/>
      <w:lvlText w:val=""/>
      <w:lvlJc w:val="left"/>
      <w:pPr>
        <w:tabs>
          <w:tab w:val="num" w:pos="4320"/>
        </w:tabs>
        <w:ind w:left="4320" w:hanging="360"/>
      </w:pPr>
      <w:rPr>
        <w:rFonts w:ascii="Wingdings 2" w:hAnsi="Wingdings 2" w:hint="default"/>
      </w:rPr>
    </w:lvl>
    <w:lvl w:ilvl="6" w:tplc="FDD0AF6C" w:tentative="1">
      <w:start w:val="1"/>
      <w:numFmt w:val="bullet"/>
      <w:lvlText w:val=""/>
      <w:lvlJc w:val="left"/>
      <w:pPr>
        <w:tabs>
          <w:tab w:val="num" w:pos="5040"/>
        </w:tabs>
        <w:ind w:left="5040" w:hanging="360"/>
      </w:pPr>
      <w:rPr>
        <w:rFonts w:ascii="Wingdings 2" w:hAnsi="Wingdings 2" w:hint="default"/>
      </w:rPr>
    </w:lvl>
    <w:lvl w:ilvl="7" w:tplc="325C5B1A" w:tentative="1">
      <w:start w:val="1"/>
      <w:numFmt w:val="bullet"/>
      <w:lvlText w:val=""/>
      <w:lvlJc w:val="left"/>
      <w:pPr>
        <w:tabs>
          <w:tab w:val="num" w:pos="5760"/>
        </w:tabs>
        <w:ind w:left="5760" w:hanging="360"/>
      </w:pPr>
      <w:rPr>
        <w:rFonts w:ascii="Wingdings 2" w:hAnsi="Wingdings 2" w:hint="default"/>
      </w:rPr>
    </w:lvl>
    <w:lvl w:ilvl="8" w:tplc="533A66E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A29BA"/>
    <w:multiLevelType w:val="hybridMultilevel"/>
    <w:tmpl w:val="244A9E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F619E9"/>
    <w:multiLevelType w:val="hybridMultilevel"/>
    <w:tmpl w:val="69D476AA"/>
    <w:lvl w:ilvl="0" w:tplc="C08402E2">
      <w:start w:val="1"/>
      <w:numFmt w:val="bullet"/>
      <w:lvlText w:val=""/>
      <w:lvlJc w:val="left"/>
      <w:pPr>
        <w:tabs>
          <w:tab w:val="num" w:pos="720"/>
        </w:tabs>
        <w:ind w:left="720" w:hanging="360"/>
      </w:pPr>
      <w:rPr>
        <w:rFonts w:ascii="Wingdings 2" w:hAnsi="Wingdings 2" w:hint="default"/>
      </w:rPr>
    </w:lvl>
    <w:lvl w:ilvl="1" w:tplc="E7F685D6" w:tentative="1">
      <w:start w:val="1"/>
      <w:numFmt w:val="bullet"/>
      <w:lvlText w:val=""/>
      <w:lvlJc w:val="left"/>
      <w:pPr>
        <w:tabs>
          <w:tab w:val="num" w:pos="1440"/>
        </w:tabs>
        <w:ind w:left="1440" w:hanging="360"/>
      </w:pPr>
      <w:rPr>
        <w:rFonts w:ascii="Wingdings 2" w:hAnsi="Wingdings 2" w:hint="default"/>
      </w:rPr>
    </w:lvl>
    <w:lvl w:ilvl="2" w:tplc="FF5631DA" w:tentative="1">
      <w:start w:val="1"/>
      <w:numFmt w:val="bullet"/>
      <w:lvlText w:val=""/>
      <w:lvlJc w:val="left"/>
      <w:pPr>
        <w:tabs>
          <w:tab w:val="num" w:pos="2160"/>
        </w:tabs>
        <w:ind w:left="2160" w:hanging="360"/>
      </w:pPr>
      <w:rPr>
        <w:rFonts w:ascii="Wingdings 2" w:hAnsi="Wingdings 2" w:hint="default"/>
      </w:rPr>
    </w:lvl>
    <w:lvl w:ilvl="3" w:tplc="CBF89BD6" w:tentative="1">
      <w:start w:val="1"/>
      <w:numFmt w:val="bullet"/>
      <w:lvlText w:val=""/>
      <w:lvlJc w:val="left"/>
      <w:pPr>
        <w:tabs>
          <w:tab w:val="num" w:pos="2880"/>
        </w:tabs>
        <w:ind w:left="2880" w:hanging="360"/>
      </w:pPr>
      <w:rPr>
        <w:rFonts w:ascii="Wingdings 2" w:hAnsi="Wingdings 2" w:hint="default"/>
      </w:rPr>
    </w:lvl>
    <w:lvl w:ilvl="4" w:tplc="E1ECC568" w:tentative="1">
      <w:start w:val="1"/>
      <w:numFmt w:val="bullet"/>
      <w:lvlText w:val=""/>
      <w:lvlJc w:val="left"/>
      <w:pPr>
        <w:tabs>
          <w:tab w:val="num" w:pos="3600"/>
        </w:tabs>
        <w:ind w:left="3600" w:hanging="360"/>
      </w:pPr>
      <w:rPr>
        <w:rFonts w:ascii="Wingdings 2" w:hAnsi="Wingdings 2" w:hint="default"/>
      </w:rPr>
    </w:lvl>
    <w:lvl w:ilvl="5" w:tplc="CA3C0546" w:tentative="1">
      <w:start w:val="1"/>
      <w:numFmt w:val="bullet"/>
      <w:lvlText w:val=""/>
      <w:lvlJc w:val="left"/>
      <w:pPr>
        <w:tabs>
          <w:tab w:val="num" w:pos="4320"/>
        </w:tabs>
        <w:ind w:left="4320" w:hanging="360"/>
      </w:pPr>
      <w:rPr>
        <w:rFonts w:ascii="Wingdings 2" w:hAnsi="Wingdings 2" w:hint="default"/>
      </w:rPr>
    </w:lvl>
    <w:lvl w:ilvl="6" w:tplc="9F749BE8" w:tentative="1">
      <w:start w:val="1"/>
      <w:numFmt w:val="bullet"/>
      <w:lvlText w:val=""/>
      <w:lvlJc w:val="left"/>
      <w:pPr>
        <w:tabs>
          <w:tab w:val="num" w:pos="5040"/>
        </w:tabs>
        <w:ind w:left="5040" w:hanging="360"/>
      </w:pPr>
      <w:rPr>
        <w:rFonts w:ascii="Wingdings 2" w:hAnsi="Wingdings 2" w:hint="default"/>
      </w:rPr>
    </w:lvl>
    <w:lvl w:ilvl="7" w:tplc="9FF0422C" w:tentative="1">
      <w:start w:val="1"/>
      <w:numFmt w:val="bullet"/>
      <w:lvlText w:val=""/>
      <w:lvlJc w:val="left"/>
      <w:pPr>
        <w:tabs>
          <w:tab w:val="num" w:pos="5760"/>
        </w:tabs>
        <w:ind w:left="5760" w:hanging="360"/>
      </w:pPr>
      <w:rPr>
        <w:rFonts w:ascii="Wingdings 2" w:hAnsi="Wingdings 2" w:hint="default"/>
      </w:rPr>
    </w:lvl>
    <w:lvl w:ilvl="8" w:tplc="F5A0B238"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93519B"/>
    <w:multiLevelType w:val="hybridMultilevel"/>
    <w:tmpl w:val="B91E275A"/>
    <w:lvl w:ilvl="0" w:tplc="02C81BBE">
      <w:start w:val="1"/>
      <w:numFmt w:val="bullet"/>
      <w:lvlText w:val=""/>
      <w:lvlJc w:val="left"/>
      <w:pPr>
        <w:tabs>
          <w:tab w:val="num" w:pos="720"/>
        </w:tabs>
        <w:ind w:left="720" w:hanging="360"/>
      </w:pPr>
      <w:rPr>
        <w:rFonts w:ascii="Wingdings 2" w:hAnsi="Wingdings 2" w:hint="default"/>
      </w:rPr>
    </w:lvl>
    <w:lvl w:ilvl="1" w:tplc="BFA48652" w:tentative="1">
      <w:start w:val="1"/>
      <w:numFmt w:val="bullet"/>
      <w:lvlText w:val=""/>
      <w:lvlJc w:val="left"/>
      <w:pPr>
        <w:tabs>
          <w:tab w:val="num" w:pos="1440"/>
        </w:tabs>
        <w:ind w:left="1440" w:hanging="360"/>
      </w:pPr>
      <w:rPr>
        <w:rFonts w:ascii="Wingdings 2" w:hAnsi="Wingdings 2" w:hint="default"/>
      </w:rPr>
    </w:lvl>
    <w:lvl w:ilvl="2" w:tplc="9CB42738" w:tentative="1">
      <w:start w:val="1"/>
      <w:numFmt w:val="bullet"/>
      <w:lvlText w:val=""/>
      <w:lvlJc w:val="left"/>
      <w:pPr>
        <w:tabs>
          <w:tab w:val="num" w:pos="2160"/>
        </w:tabs>
        <w:ind w:left="2160" w:hanging="360"/>
      </w:pPr>
      <w:rPr>
        <w:rFonts w:ascii="Wingdings 2" w:hAnsi="Wingdings 2" w:hint="default"/>
      </w:rPr>
    </w:lvl>
    <w:lvl w:ilvl="3" w:tplc="00449DCE" w:tentative="1">
      <w:start w:val="1"/>
      <w:numFmt w:val="bullet"/>
      <w:lvlText w:val=""/>
      <w:lvlJc w:val="left"/>
      <w:pPr>
        <w:tabs>
          <w:tab w:val="num" w:pos="2880"/>
        </w:tabs>
        <w:ind w:left="2880" w:hanging="360"/>
      </w:pPr>
      <w:rPr>
        <w:rFonts w:ascii="Wingdings 2" w:hAnsi="Wingdings 2" w:hint="default"/>
      </w:rPr>
    </w:lvl>
    <w:lvl w:ilvl="4" w:tplc="8F9CED66" w:tentative="1">
      <w:start w:val="1"/>
      <w:numFmt w:val="bullet"/>
      <w:lvlText w:val=""/>
      <w:lvlJc w:val="left"/>
      <w:pPr>
        <w:tabs>
          <w:tab w:val="num" w:pos="3600"/>
        </w:tabs>
        <w:ind w:left="3600" w:hanging="360"/>
      </w:pPr>
      <w:rPr>
        <w:rFonts w:ascii="Wingdings 2" w:hAnsi="Wingdings 2" w:hint="default"/>
      </w:rPr>
    </w:lvl>
    <w:lvl w:ilvl="5" w:tplc="EA50C4CC" w:tentative="1">
      <w:start w:val="1"/>
      <w:numFmt w:val="bullet"/>
      <w:lvlText w:val=""/>
      <w:lvlJc w:val="left"/>
      <w:pPr>
        <w:tabs>
          <w:tab w:val="num" w:pos="4320"/>
        </w:tabs>
        <w:ind w:left="4320" w:hanging="360"/>
      </w:pPr>
      <w:rPr>
        <w:rFonts w:ascii="Wingdings 2" w:hAnsi="Wingdings 2" w:hint="default"/>
      </w:rPr>
    </w:lvl>
    <w:lvl w:ilvl="6" w:tplc="6AB8A740" w:tentative="1">
      <w:start w:val="1"/>
      <w:numFmt w:val="bullet"/>
      <w:lvlText w:val=""/>
      <w:lvlJc w:val="left"/>
      <w:pPr>
        <w:tabs>
          <w:tab w:val="num" w:pos="5040"/>
        </w:tabs>
        <w:ind w:left="5040" w:hanging="360"/>
      </w:pPr>
      <w:rPr>
        <w:rFonts w:ascii="Wingdings 2" w:hAnsi="Wingdings 2" w:hint="default"/>
      </w:rPr>
    </w:lvl>
    <w:lvl w:ilvl="7" w:tplc="DE946DDE" w:tentative="1">
      <w:start w:val="1"/>
      <w:numFmt w:val="bullet"/>
      <w:lvlText w:val=""/>
      <w:lvlJc w:val="left"/>
      <w:pPr>
        <w:tabs>
          <w:tab w:val="num" w:pos="5760"/>
        </w:tabs>
        <w:ind w:left="5760" w:hanging="360"/>
      </w:pPr>
      <w:rPr>
        <w:rFonts w:ascii="Wingdings 2" w:hAnsi="Wingdings 2" w:hint="default"/>
      </w:rPr>
    </w:lvl>
    <w:lvl w:ilvl="8" w:tplc="37644FA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0"/>
  </w:num>
  <w:num w:numId="43">
    <w:abstractNumId w:val="26"/>
  </w:num>
  <w:num w:numId="44">
    <w:abstractNumId w:val="43"/>
  </w:num>
  <w:num w:numId="45">
    <w:abstractNumId w:val="11"/>
  </w:num>
  <w:num w:numId="46">
    <w:abstractNumId w:val="2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13B"/>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BD"/>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2D25"/>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368"/>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6D4E"/>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25C"/>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2BB"/>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1F35"/>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7268821">
      <w:bodyDiv w:val="1"/>
      <w:marLeft w:val="0"/>
      <w:marRight w:val="0"/>
      <w:marTop w:val="0"/>
      <w:marBottom w:val="0"/>
      <w:divBdr>
        <w:top w:val="none" w:sz="0" w:space="0" w:color="auto"/>
        <w:left w:val="none" w:sz="0" w:space="0" w:color="auto"/>
        <w:bottom w:val="none" w:sz="0" w:space="0" w:color="auto"/>
        <w:right w:val="none" w:sz="0" w:space="0" w:color="auto"/>
      </w:divBdr>
      <w:divsChild>
        <w:div w:id="674527930">
          <w:marLeft w:val="576"/>
          <w:marRight w:val="0"/>
          <w:marTop w:val="120"/>
          <w:marBottom w:val="0"/>
          <w:divBdr>
            <w:top w:val="none" w:sz="0" w:space="0" w:color="auto"/>
            <w:left w:val="none" w:sz="0" w:space="0" w:color="auto"/>
            <w:bottom w:val="none" w:sz="0" w:space="0" w:color="auto"/>
            <w:right w:val="none" w:sz="0" w:space="0" w:color="auto"/>
          </w:divBdr>
        </w:div>
        <w:div w:id="1389760448">
          <w:marLeft w:val="576"/>
          <w:marRight w:val="0"/>
          <w:marTop w:val="120"/>
          <w:marBottom w:val="0"/>
          <w:divBdr>
            <w:top w:val="none" w:sz="0" w:space="0" w:color="auto"/>
            <w:left w:val="none" w:sz="0" w:space="0" w:color="auto"/>
            <w:bottom w:val="none" w:sz="0" w:space="0" w:color="auto"/>
            <w:right w:val="none" w:sz="0" w:space="0" w:color="auto"/>
          </w:divBdr>
        </w:div>
        <w:div w:id="1120878682">
          <w:marLeft w:val="576"/>
          <w:marRight w:val="0"/>
          <w:marTop w:val="120"/>
          <w:marBottom w:val="0"/>
          <w:divBdr>
            <w:top w:val="none" w:sz="0" w:space="0" w:color="auto"/>
            <w:left w:val="none" w:sz="0" w:space="0" w:color="auto"/>
            <w:bottom w:val="none" w:sz="0" w:space="0" w:color="auto"/>
            <w:right w:val="none" w:sz="0" w:space="0" w:color="auto"/>
          </w:divBdr>
        </w:div>
        <w:div w:id="1216813193">
          <w:marLeft w:val="576"/>
          <w:marRight w:val="0"/>
          <w:marTop w:val="120"/>
          <w:marBottom w:val="0"/>
          <w:divBdr>
            <w:top w:val="none" w:sz="0" w:space="0" w:color="auto"/>
            <w:left w:val="none" w:sz="0" w:space="0" w:color="auto"/>
            <w:bottom w:val="none" w:sz="0" w:space="0" w:color="auto"/>
            <w:right w:val="none" w:sz="0" w:space="0" w:color="auto"/>
          </w:divBdr>
        </w:div>
        <w:div w:id="1057780891">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756302">
      <w:bodyDiv w:val="1"/>
      <w:marLeft w:val="0"/>
      <w:marRight w:val="0"/>
      <w:marTop w:val="0"/>
      <w:marBottom w:val="0"/>
      <w:divBdr>
        <w:top w:val="none" w:sz="0" w:space="0" w:color="auto"/>
        <w:left w:val="none" w:sz="0" w:space="0" w:color="auto"/>
        <w:bottom w:val="none" w:sz="0" w:space="0" w:color="auto"/>
        <w:right w:val="none" w:sz="0" w:space="0" w:color="auto"/>
      </w:divBdr>
      <w:divsChild>
        <w:div w:id="1165780269">
          <w:marLeft w:val="576"/>
          <w:marRight w:val="0"/>
          <w:marTop w:val="120"/>
          <w:marBottom w:val="0"/>
          <w:divBdr>
            <w:top w:val="none" w:sz="0" w:space="0" w:color="auto"/>
            <w:left w:val="none" w:sz="0" w:space="0" w:color="auto"/>
            <w:bottom w:val="none" w:sz="0" w:space="0" w:color="auto"/>
            <w:right w:val="none" w:sz="0" w:space="0" w:color="auto"/>
          </w:divBdr>
        </w:div>
        <w:div w:id="668682076">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281562">
      <w:bodyDiv w:val="1"/>
      <w:marLeft w:val="0"/>
      <w:marRight w:val="0"/>
      <w:marTop w:val="0"/>
      <w:marBottom w:val="0"/>
      <w:divBdr>
        <w:top w:val="none" w:sz="0" w:space="0" w:color="auto"/>
        <w:left w:val="none" w:sz="0" w:space="0" w:color="auto"/>
        <w:bottom w:val="none" w:sz="0" w:space="0" w:color="auto"/>
        <w:right w:val="none" w:sz="0" w:space="0" w:color="auto"/>
      </w:divBdr>
      <w:divsChild>
        <w:div w:id="1000936193">
          <w:marLeft w:val="576"/>
          <w:marRight w:val="0"/>
          <w:marTop w:val="120"/>
          <w:marBottom w:val="0"/>
          <w:divBdr>
            <w:top w:val="none" w:sz="0" w:space="0" w:color="auto"/>
            <w:left w:val="none" w:sz="0" w:space="0" w:color="auto"/>
            <w:bottom w:val="none" w:sz="0" w:space="0" w:color="auto"/>
            <w:right w:val="none" w:sz="0" w:space="0" w:color="auto"/>
          </w:divBdr>
        </w:div>
        <w:div w:id="667902957">
          <w:marLeft w:val="576"/>
          <w:marRight w:val="0"/>
          <w:marTop w:val="120"/>
          <w:marBottom w:val="0"/>
          <w:divBdr>
            <w:top w:val="none" w:sz="0" w:space="0" w:color="auto"/>
            <w:left w:val="none" w:sz="0" w:space="0" w:color="auto"/>
            <w:bottom w:val="none" w:sz="0" w:space="0" w:color="auto"/>
            <w:right w:val="none" w:sz="0" w:space="0" w:color="auto"/>
          </w:divBdr>
        </w:div>
        <w:div w:id="553007749">
          <w:marLeft w:val="576"/>
          <w:marRight w:val="0"/>
          <w:marTop w:val="120"/>
          <w:marBottom w:val="0"/>
          <w:divBdr>
            <w:top w:val="none" w:sz="0" w:space="0" w:color="auto"/>
            <w:left w:val="none" w:sz="0" w:space="0" w:color="auto"/>
            <w:bottom w:val="none" w:sz="0" w:space="0" w:color="auto"/>
            <w:right w:val="none" w:sz="0" w:space="0" w:color="auto"/>
          </w:divBdr>
        </w:div>
        <w:div w:id="15259991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421603">
      <w:bodyDiv w:val="1"/>
      <w:marLeft w:val="0"/>
      <w:marRight w:val="0"/>
      <w:marTop w:val="0"/>
      <w:marBottom w:val="0"/>
      <w:divBdr>
        <w:top w:val="none" w:sz="0" w:space="0" w:color="auto"/>
        <w:left w:val="none" w:sz="0" w:space="0" w:color="auto"/>
        <w:bottom w:val="none" w:sz="0" w:space="0" w:color="auto"/>
        <w:right w:val="none" w:sz="0" w:space="0" w:color="auto"/>
      </w:divBdr>
      <w:divsChild>
        <w:div w:id="1916279327">
          <w:marLeft w:val="576"/>
          <w:marRight w:val="0"/>
          <w:marTop w:val="120"/>
          <w:marBottom w:val="0"/>
          <w:divBdr>
            <w:top w:val="none" w:sz="0" w:space="0" w:color="auto"/>
            <w:left w:val="none" w:sz="0" w:space="0" w:color="auto"/>
            <w:bottom w:val="none" w:sz="0" w:space="0" w:color="auto"/>
            <w:right w:val="none" w:sz="0" w:space="0" w:color="auto"/>
          </w:divBdr>
        </w:div>
        <w:div w:id="668292023">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1785740">
      <w:bodyDiv w:val="1"/>
      <w:marLeft w:val="0"/>
      <w:marRight w:val="0"/>
      <w:marTop w:val="0"/>
      <w:marBottom w:val="0"/>
      <w:divBdr>
        <w:top w:val="none" w:sz="0" w:space="0" w:color="auto"/>
        <w:left w:val="none" w:sz="0" w:space="0" w:color="auto"/>
        <w:bottom w:val="none" w:sz="0" w:space="0" w:color="auto"/>
        <w:right w:val="none" w:sz="0" w:space="0" w:color="auto"/>
      </w:divBdr>
      <w:divsChild>
        <w:div w:id="1062799836">
          <w:marLeft w:val="576"/>
          <w:marRight w:val="0"/>
          <w:marTop w:val="120"/>
          <w:marBottom w:val="0"/>
          <w:divBdr>
            <w:top w:val="none" w:sz="0" w:space="0" w:color="auto"/>
            <w:left w:val="none" w:sz="0" w:space="0" w:color="auto"/>
            <w:bottom w:val="none" w:sz="0" w:space="0" w:color="auto"/>
            <w:right w:val="none" w:sz="0" w:space="0" w:color="auto"/>
          </w:divBdr>
        </w:div>
        <w:div w:id="1273710410">
          <w:marLeft w:val="576"/>
          <w:marRight w:val="0"/>
          <w:marTop w:val="120"/>
          <w:marBottom w:val="0"/>
          <w:divBdr>
            <w:top w:val="none" w:sz="0" w:space="0" w:color="auto"/>
            <w:left w:val="none" w:sz="0" w:space="0" w:color="auto"/>
            <w:bottom w:val="none" w:sz="0" w:space="0" w:color="auto"/>
            <w:right w:val="none" w:sz="0" w:space="0" w:color="auto"/>
          </w:divBdr>
        </w:div>
        <w:div w:id="2006469970">
          <w:marLeft w:val="576"/>
          <w:marRight w:val="0"/>
          <w:marTop w:val="120"/>
          <w:marBottom w:val="0"/>
          <w:divBdr>
            <w:top w:val="none" w:sz="0" w:space="0" w:color="auto"/>
            <w:left w:val="none" w:sz="0" w:space="0" w:color="auto"/>
            <w:bottom w:val="none" w:sz="0" w:space="0" w:color="auto"/>
            <w:right w:val="none" w:sz="0" w:space="0" w:color="auto"/>
          </w:divBdr>
        </w:div>
        <w:div w:id="1501384834">
          <w:marLeft w:val="576"/>
          <w:marRight w:val="0"/>
          <w:marTop w:val="120"/>
          <w:marBottom w:val="0"/>
          <w:divBdr>
            <w:top w:val="none" w:sz="0" w:space="0" w:color="auto"/>
            <w:left w:val="none" w:sz="0" w:space="0" w:color="auto"/>
            <w:bottom w:val="none" w:sz="0" w:space="0" w:color="auto"/>
            <w:right w:val="none" w:sz="0" w:space="0" w:color="auto"/>
          </w:divBdr>
        </w:div>
        <w:div w:id="77398463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0520838">
      <w:bodyDiv w:val="1"/>
      <w:marLeft w:val="0"/>
      <w:marRight w:val="0"/>
      <w:marTop w:val="0"/>
      <w:marBottom w:val="0"/>
      <w:divBdr>
        <w:top w:val="none" w:sz="0" w:space="0" w:color="auto"/>
        <w:left w:val="none" w:sz="0" w:space="0" w:color="auto"/>
        <w:bottom w:val="none" w:sz="0" w:space="0" w:color="auto"/>
        <w:right w:val="none" w:sz="0" w:space="0" w:color="auto"/>
      </w:divBdr>
      <w:divsChild>
        <w:div w:id="430902469">
          <w:marLeft w:val="576"/>
          <w:marRight w:val="0"/>
          <w:marTop w:val="120"/>
          <w:marBottom w:val="0"/>
          <w:divBdr>
            <w:top w:val="none" w:sz="0" w:space="0" w:color="auto"/>
            <w:left w:val="none" w:sz="0" w:space="0" w:color="auto"/>
            <w:bottom w:val="none" w:sz="0" w:space="0" w:color="auto"/>
            <w:right w:val="none" w:sz="0" w:space="0" w:color="auto"/>
          </w:divBdr>
        </w:div>
        <w:div w:id="1621647440">
          <w:marLeft w:val="576"/>
          <w:marRight w:val="0"/>
          <w:marTop w:val="120"/>
          <w:marBottom w:val="0"/>
          <w:divBdr>
            <w:top w:val="none" w:sz="0" w:space="0" w:color="auto"/>
            <w:left w:val="none" w:sz="0" w:space="0" w:color="auto"/>
            <w:bottom w:val="none" w:sz="0" w:space="0" w:color="auto"/>
            <w:right w:val="none" w:sz="0" w:space="0" w:color="auto"/>
          </w:divBdr>
        </w:div>
        <w:div w:id="3338870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8908230">
      <w:bodyDiv w:val="1"/>
      <w:marLeft w:val="0"/>
      <w:marRight w:val="0"/>
      <w:marTop w:val="0"/>
      <w:marBottom w:val="0"/>
      <w:divBdr>
        <w:top w:val="none" w:sz="0" w:space="0" w:color="auto"/>
        <w:left w:val="none" w:sz="0" w:space="0" w:color="auto"/>
        <w:bottom w:val="none" w:sz="0" w:space="0" w:color="auto"/>
        <w:right w:val="none" w:sz="0" w:space="0" w:color="auto"/>
      </w:divBdr>
      <w:divsChild>
        <w:div w:id="1685128649">
          <w:marLeft w:val="576"/>
          <w:marRight w:val="0"/>
          <w:marTop w:val="120"/>
          <w:marBottom w:val="0"/>
          <w:divBdr>
            <w:top w:val="none" w:sz="0" w:space="0" w:color="auto"/>
            <w:left w:val="none" w:sz="0" w:space="0" w:color="auto"/>
            <w:bottom w:val="none" w:sz="0" w:space="0" w:color="auto"/>
            <w:right w:val="none" w:sz="0" w:space="0" w:color="auto"/>
          </w:divBdr>
        </w:div>
        <w:div w:id="2078043775">
          <w:marLeft w:val="576"/>
          <w:marRight w:val="0"/>
          <w:marTop w:val="120"/>
          <w:marBottom w:val="0"/>
          <w:divBdr>
            <w:top w:val="none" w:sz="0" w:space="0" w:color="auto"/>
            <w:left w:val="none" w:sz="0" w:space="0" w:color="auto"/>
            <w:bottom w:val="none" w:sz="0" w:space="0" w:color="auto"/>
            <w:right w:val="none" w:sz="0" w:space="0" w:color="auto"/>
          </w:divBdr>
        </w:div>
        <w:div w:id="75104829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2021-05-25T14:18:00Z</dcterms:modified>
</cp:coreProperties>
</file>