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F7988" w:rsidRDefault="005F7988" w:rsidP="005F7988">
      <w:pPr>
        <w:spacing w:line="360" w:lineRule="auto"/>
        <w:jc w:val="center"/>
        <w:rPr>
          <w:rFonts w:ascii="Times New Roman" w:hAnsi="Times New Roman" w:cs="Times New Roman"/>
          <w:b/>
          <w:sz w:val="48"/>
          <w:szCs w:val="48"/>
        </w:rPr>
      </w:pPr>
      <w:r w:rsidRPr="005F7988">
        <w:rPr>
          <w:rFonts w:ascii="Times New Roman" w:hAnsi="Times New Roman" w:cs="Times New Roman"/>
          <w:b/>
          <w:sz w:val="48"/>
          <w:szCs w:val="48"/>
        </w:rPr>
        <w:t>An Efficient Eigenvalue Tracking Method for Time-Delayed Power Systems based on Continuation of Invariant Subspaces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F7988" w:rsidRDefault="005F798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5F7988" w:rsidRPr="005F7988" w:rsidRDefault="005F7988" w:rsidP="005F7988">
      <w:pPr>
        <w:spacing w:line="360" w:lineRule="auto"/>
        <w:jc w:val="both"/>
        <w:rPr>
          <w:rFonts w:ascii="Times New Roman" w:hAnsi="Times New Roman" w:cs="Times New Roman"/>
          <w:bCs/>
          <w:sz w:val="32"/>
          <w:szCs w:val="32"/>
          <w:lang w:val="en-IN"/>
        </w:rPr>
      </w:pPr>
      <w:r w:rsidRPr="005F7988">
        <w:rPr>
          <w:rFonts w:ascii="Times New Roman" w:hAnsi="Times New Roman" w:cs="Times New Roman"/>
          <w:bCs/>
          <w:sz w:val="32"/>
          <w:szCs w:val="32"/>
          <w:lang w:val="en-IN"/>
        </w:rPr>
        <w:t xml:space="preserve">   Time delays are inevitable in the power systems with wide-area control signals, which may compromise the control performance and thus jeopardize the stability of the power systems. To analyze the impacts of system parameters on critical oscillation modes of a time-delayed power system (TDPS), a new method for eigenvalue trajectory tracking of TDPS is proposed in this paper based on the continuation theory of invariant subspaces. When small changes are imposed on system parameters, such as parameters of wide-area damping controllers (WADCs) and time delays, the invariant subspaces are continuously predicted and corrected, followed by th</w:t>
      </w:r>
      <w:r>
        <w:rPr>
          <w:rFonts w:ascii="Times New Roman" w:hAnsi="Times New Roman" w:cs="Times New Roman"/>
          <w:bCs/>
          <w:sz w:val="32"/>
          <w:szCs w:val="32"/>
          <w:lang w:val="en-IN"/>
        </w:rPr>
        <w:t>e eigenvalues and eigenvectors.</w:t>
      </w:r>
      <w:r w:rsidRPr="005F7988">
        <w:rPr>
          <w:rFonts w:ascii="Times New Roman" w:hAnsi="Times New Roman" w:cs="Times New Roman"/>
          <w:bCs/>
          <w:sz w:val="32"/>
          <w:szCs w:val="32"/>
          <w:lang w:val="en-IN"/>
        </w:rPr>
        <w:t xml:space="preserve"> In the process, the predictor and corrector are computed by solving linear equations sparsely and in blocks, which is highly scalable and computationally efficient for large-scale power system applications. The 16-generator 68-bus test system and two real-world power grids in China are used to test and demonstrate the proposed method. The results show that the proposed method can accurately and efficiently track eigenvalue trajectories for TDPS, especially for large-scale power grids. In addition, the sensitivities of eigenvalues and eigenvectors with respect to WADCs’ parameters and time delays are obtained as by-products of the approach.</w:t>
      </w:r>
      <w:r w:rsidRPr="005F7988">
        <w:rPr>
          <w:rFonts w:ascii="Times New Roman" w:hAnsi="Times New Roman" w:cs="Times New Roman"/>
          <w:bCs/>
          <w:sz w:val="32"/>
          <w:szCs w:val="32"/>
        </w:rPr>
        <w:t xml:space="preserve"> </w:t>
      </w:r>
    </w:p>
    <w:p w:rsidR="00845895" w:rsidRPr="005F7988" w:rsidRDefault="00845895" w:rsidP="00E53AA4">
      <w:pPr>
        <w:spacing w:line="360" w:lineRule="auto"/>
        <w:jc w:val="both"/>
        <w:rPr>
          <w:rFonts w:ascii="Times New Roman" w:hAnsi="Times New Roman" w:cs="Times New Roman"/>
          <w:bCs/>
          <w:sz w:val="32"/>
          <w:szCs w:val="32"/>
        </w:rPr>
      </w:pPr>
    </w:p>
    <w:p w:rsidR="00491919" w:rsidRPr="005F7988" w:rsidRDefault="001C4FD2" w:rsidP="005F7988">
      <w:pPr>
        <w:jc w:val="both"/>
        <w:rPr>
          <w:rFonts w:ascii="Times New Roman" w:hAnsi="Times New Roman" w:cs="Times New Roman"/>
          <w:b/>
          <w:sz w:val="28"/>
          <w:szCs w:val="28"/>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F7988" w:rsidRDefault="00BE4543" w:rsidP="005F7988">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5F7988">
        <w:rPr>
          <w:rFonts w:ascii="Times New Roman" w:hAnsi="Times New Roman" w:cs="Times New Roman"/>
          <w:sz w:val="32"/>
          <w:szCs w:val="32"/>
          <w:lang w:val="en-IN"/>
        </w:rPr>
        <w:t>The transcription of the Kronecker sum into the matrix pencil form reduces the problem to the existence of the unit circle of generalized eigenvalues of the corresponding matrix pencil.</w:t>
      </w:r>
    </w:p>
    <w:p w:rsidR="00000000" w:rsidRPr="005F7988" w:rsidRDefault="00BE4543" w:rsidP="005F7988">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5F7988">
        <w:rPr>
          <w:rFonts w:ascii="Times New Roman" w:hAnsi="Times New Roman" w:cs="Times New Roman"/>
          <w:sz w:val="32"/>
          <w:szCs w:val="32"/>
          <w:lang w:val="en-IN"/>
        </w:rPr>
        <w:t>The proposed method offered larger delay margin and takes less comput</w:t>
      </w:r>
      <w:r w:rsidRPr="005F7988">
        <w:rPr>
          <w:rFonts w:ascii="Times New Roman" w:hAnsi="Times New Roman" w:cs="Times New Roman"/>
          <w:sz w:val="32"/>
          <w:szCs w:val="32"/>
          <w:lang w:val="en-IN"/>
        </w:rPr>
        <w:t>ation time compared to some existing methods.</w:t>
      </w:r>
    </w:p>
    <w:p w:rsidR="00000000" w:rsidRPr="005F7988" w:rsidRDefault="00BE4543" w:rsidP="005F7988">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5F7988">
        <w:rPr>
          <w:rFonts w:ascii="Times New Roman" w:hAnsi="Times New Roman" w:cs="Times New Roman"/>
          <w:sz w:val="32"/>
          <w:szCs w:val="32"/>
          <w:lang w:val="en-IN"/>
        </w:rPr>
        <w:t>Frequency-based DIS methods are generally built on the verification of the non-existence of purely imaginary system poles for arbitrary delay values.</w:t>
      </w:r>
    </w:p>
    <w:p w:rsidR="00000000" w:rsidRPr="005F7988" w:rsidRDefault="00BE4543" w:rsidP="005F7988">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5F7988">
        <w:rPr>
          <w:rFonts w:ascii="Times New Roman" w:hAnsi="Times New Roman" w:cs="Times New Roman"/>
          <w:sz w:val="32"/>
          <w:szCs w:val="32"/>
          <w:lang w:val="en-IN"/>
        </w:rPr>
        <w:t>Then, the non-existence of any positive real root of D (ω)</w:t>
      </w:r>
      <w:r w:rsidRPr="005F7988">
        <w:rPr>
          <w:rFonts w:ascii="Times New Roman" w:hAnsi="Times New Roman" w:cs="Times New Roman"/>
          <w:sz w:val="32"/>
          <w:szCs w:val="32"/>
          <w:lang w:val="en-IN"/>
        </w:rPr>
        <w:t xml:space="preserve"> - which is a sufficient DIS condition - was proved by the Déscartes rules of signs.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F7988" w:rsidRDefault="00BE4543" w:rsidP="005F7988">
      <w:pPr>
        <w:numPr>
          <w:ilvl w:val="0"/>
          <w:numId w:val="43"/>
        </w:numPr>
        <w:spacing w:line="360" w:lineRule="auto"/>
        <w:jc w:val="both"/>
        <w:rPr>
          <w:rFonts w:ascii="Times New Roman" w:hAnsi="Times New Roman" w:cs="Times New Roman"/>
          <w:bCs/>
          <w:sz w:val="32"/>
          <w:szCs w:val="32"/>
          <w:lang w:val="en-IN"/>
        </w:rPr>
      </w:pPr>
      <w:r w:rsidRPr="005F7988">
        <w:rPr>
          <w:rFonts w:ascii="Times New Roman" w:hAnsi="Times New Roman" w:cs="Times New Roman"/>
          <w:bCs/>
          <w:sz w:val="32"/>
          <w:szCs w:val="32"/>
          <w:lang w:val="en-IN"/>
        </w:rPr>
        <w:t xml:space="preserve">In continuation methods, the predictor-corrector scheme has been widely applied in power systems, such as continuation power flow. </w:t>
      </w:r>
    </w:p>
    <w:p w:rsidR="00000000" w:rsidRPr="005F7988" w:rsidRDefault="00BE4543" w:rsidP="005F7988">
      <w:pPr>
        <w:numPr>
          <w:ilvl w:val="0"/>
          <w:numId w:val="43"/>
        </w:numPr>
        <w:spacing w:line="360" w:lineRule="auto"/>
        <w:jc w:val="both"/>
        <w:rPr>
          <w:rFonts w:ascii="Times New Roman" w:hAnsi="Times New Roman" w:cs="Times New Roman"/>
          <w:bCs/>
          <w:sz w:val="32"/>
          <w:szCs w:val="32"/>
          <w:lang w:val="en-IN"/>
        </w:rPr>
      </w:pPr>
      <w:r w:rsidRPr="005F7988">
        <w:rPr>
          <w:rFonts w:ascii="Times New Roman" w:hAnsi="Times New Roman" w:cs="Times New Roman"/>
          <w:bCs/>
          <w:sz w:val="32"/>
          <w:szCs w:val="32"/>
          <w:lang w:val="en-IN"/>
        </w:rPr>
        <w:t xml:space="preserve">Its principle is to predict the next </w:t>
      </w:r>
      <w:r w:rsidRPr="005F7988">
        <w:rPr>
          <w:rFonts w:ascii="Times New Roman" w:hAnsi="Times New Roman" w:cs="Times New Roman"/>
          <w:bCs/>
          <w:sz w:val="32"/>
          <w:szCs w:val="32"/>
          <w:lang w:val="en-IN"/>
        </w:rPr>
        <w:t xml:space="preserve">solution point and then correct the prediction to get the next point on the curve. </w:t>
      </w:r>
    </w:p>
    <w:p w:rsidR="00000000" w:rsidRPr="005F7988" w:rsidRDefault="00BE4543" w:rsidP="005F7988">
      <w:pPr>
        <w:numPr>
          <w:ilvl w:val="0"/>
          <w:numId w:val="43"/>
        </w:numPr>
        <w:spacing w:line="360" w:lineRule="auto"/>
        <w:jc w:val="both"/>
        <w:rPr>
          <w:rFonts w:ascii="Times New Roman" w:hAnsi="Times New Roman" w:cs="Times New Roman"/>
          <w:bCs/>
          <w:sz w:val="32"/>
          <w:szCs w:val="32"/>
          <w:lang w:val="en-IN"/>
        </w:rPr>
      </w:pPr>
      <w:r w:rsidRPr="005F7988">
        <w:rPr>
          <w:rFonts w:ascii="Times New Roman" w:hAnsi="Times New Roman" w:cs="Times New Roman"/>
          <w:bCs/>
          <w:sz w:val="32"/>
          <w:szCs w:val="32"/>
          <w:lang w:val="en-IN"/>
        </w:rPr>
        <w:t>The eigenvalue tracking problem addressed in this paper is not an exception.</w:t>
      </w:r>
    </w:p>
    <w:p w:rsidR="00000000" w:rsidRPr="005F7988" w:rsidRDefault="00BE4543" w:rsidP="005F7988">
      <w:pPr>
        <w:numPr>
          <w:ilvl w:val="0"/>
          <w:numId w:val="43"/>
        </w:numPr>
        <w:spacing w:line="360" w:lineRule="auto"/>
        <w:jc w:val="both"/>
        <w:rPr>
          <w:rFonts w:ascii="Times New Roman" w:hAnsi="Times New Roman" w:cs="Times New Roman"/>
          <w:bCs/>
          <w:sz w:val="32"/>
          <w:szCs w:val="32"/>
          <w:lang w:val="en-IN"/>
        </w:rPr>
      </w:pPr>
      <w:r w:rsidRPr="005F7988">
        <w:rPr>
          <w:rFonts w:ascii="Times New Roman" w:hAnsi="Times New Roman" w:cs="Times New Roman"/>
          <w:bCs/>
          <w:sz w:val="32"/>
          <w:szCs w:val="32"/>
          <w:lang w:val="en-IN"/>
        </w:rPr>
        <w:t>This is a challenging problem since the frequencies, damping ratios and their mode shapes may</w:t>
      </w:r>
      <w:r w:rsidRPr="005F7988">
        <w:rPr>
          <w:rFonts w:ascii="Times New Roman" w:hAnsi="Times New Roman" w:cs="Times New Roman"/>
          <w:bCs/>
          <w:sz w:val="32"/>
          <w:szCs w:val="32"/>
          <w:lang w:val="en-IN"/>
        </w:rPr>
        <w:t xml:space="preserve"> change greatly or jump as WADCs’ parameters change.</w:t>
      </w:r>
    </w:p>
    <w:p w:rsidR="000B33B0" w:rsidRPr="005F7988" w:rsidRDefault="006A300A" w:rsidP="005F7988">
      <w:pPr>
        <w:spacing w:line="360" w:lineRule="auto"/>
        <w:jc w:val="both"/>
        <w:rPr>
          <w:rFonts w:ascii="Times New Roman" w:eastAsia="Times New Roman" w:hAnsi="Times New Roman" w:cs="Times New Roman"/>
          <w:sz w:val="32"/>
          <w:szCs w:val="32"/>
        </w:rPr>
      </w:pPr>
      <w:r w:rsidRPr="005F7988">
        <w:rPr>
          <w:rFonts w:ascii="Times New Roman" w:hAnsi="Times New Roman" w:cs="Times New Roman"/>
          <w:b/>
          <w:sz w:val="36"/>
          <w:szCs w:val="36"/>
        </w:rPr>
        <w:lastRenderedPageBreak/>
        <w:t xml:space="preserve">2.2. PROPOSED </w:t>
      </w:r>
      <w:r w:rsidR="000B33B0" w:rsidRPr="005F7988">
        <w:rPr>
          <w:rFonts w:ascii="Times New Roman" w:hAnsi="Times New Roman" w:cs="Times New Roman"/>
          <w:b/>
          <w:sz w:val="36"/>
          <w:szCs w:val="36"/>
        </w:rPr>
        <w:t xml:space="preserve">SYSTEM </w:t>
      </w:r>
    </w:p>
    <w:p w:rsidR="005F7988" w:rsidRPr="005F7988" w:rsidRDefault="005F7988" w:rsidP="005F7988">
      <w:pPr>
        <w:pStyle w:val="NormalWeb"/>
        <w:numPr>
          <w:ilvl w:val="0"/>
          <w:numId w:val="44"/>
        </w:numPr>
        <w:spacing w:before="0" w:beforeAutospacing="0" w:after="0" w:afterAutospacing="0" w:line="360" w:lineRule="auto"/>
        <w:ind w:left="0" w:firstLine="0"/>
        <w:jc w:val="both"/>
        <w:rPr>
          <w:sz w:val="32"/>
          <w:szCs w:val="32"/>
        </w:rPr>
      </w:pPr>
      <w:r w:rsidRPr="005F7988">
        <w:rPr>
          <w:sz w:val="32"/>
          <w:szCs w:val="32"/>
        </w:rPr>
        <w:t xml:space="preserve">The proposed direct method provides the central manifold approximation for lossless propagation model without the use of the central manifold theorem and the structure reconstruction. </w:t>
      </w:r>
    </w:p>
    <w:p w:rsidR="005F7988" w:rsidRPr="005F7988" w:rsidRDefault="005F7988" w:rsidP="005F7988">
      <w:pPr>
        <w:pStyle w:val="NormalWeb"/>
        <w:numPr>
          <w:ilvl w:val="0"/>
          <w:numId w:val="44"/>
        </w:numPr>
        <w:spacing w:before="0" w:beforeAutospacing="0" w:after="0" w:afterAutospacing="0" w:line="360" w:lineRule="auto"/>
        <w:ind w:left="0" w:firstLine="0"/>
        <w:jc w:val="both"/>
        <w:rPr>
          <w:sz w:val="32"/>
          <w:szCs w:val="32"/>
        </w:rPr>
      </w:pPr>
      <w:r w:rsidRPr="005F7988">
        <w:rPr>
          <w:sz w:val="32"/>
          <w:szCs w:val="32"/>
        </w:rPr>
        <w:t xml:space="preserve">It was utilized to investigate the local asymptotic stability of the positive equilibrium for the n-dimensional Lotka-Volterra system and to compute the rightmost characteristic roots (poles), respectively. </w:t>
      </w:r>
    </w:p>
    <w:p w:rsidR="005F7988" w:rsidRPr="005F7988" w:rsidRDefault="005F7988" w:rsidP="005F7988">
      <w:pPr>
        <w:pStyle w:val="NormalWeb"/>
        <w:numPr>
          <w:ilvl w:val="0"/>
          <w:numId w:val="44"/>
        </w:numPr>
        <w:spacing w:before="0" w:beforeAutospacing="0" w:after="0" w:afterAutospacing="0" w:line="360" w:lineRule="auto"/>
        <w:ind w:left="0" w:firstLine="0"/>
        <w:jc w:val="both"/>
        <w:rPr>
          <w:sz w:val="32"/>
          <w:szCs w:val="32"/>
        </w:rPr>
      </w:pPr>
      <w:r w:rsidRPr="005F7988">
        <w:rPr>
          <w:sz w:val="32"/>
          <w:szCs w:val="32"/>
        </w:rPr>
        <w:t>The applicability of the method was also improved by the introduction of a new class of TDSs and the corresponding transformation into the proposed common canonical form.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F7988" w:rsidRDefault="00BE4543" w:rsidP="005F7988">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F7988">
        <w:rPr>
          <w:rFonts w:ascii="Times New Roman" w:eastAsia="AdvGulliv-R" w:hAnsi="Times New Roman" w:cs="Times New Roman"/>
          <w:bCs/>
          <w:sz w:val="32"/>
          <w:szCs w:val="32"/>
          <w:lang w:val="en-IN"/>
        </w:rPr>
        <w:t>Previous weakly damped blackouts and increased power system congestion have prompted new techn</w:t>
      </w:r>
      <w:r w:rsidRPr="005F7988">
        <w:rPr>
          <w:rFonts w:ascii="Times New Roman" w:eastAsia="AdvGulliv-R" w:hAnsi="Times New Roman" w:cs="Times New Roman"/>
          <w:bCs/>
          <w:sz w:val="32"/>
          <w:szCs w:val="32"/>
          <w:lang w:val="en-IN"/>
        </w:rPr>
        <w:t xml:space="preserve">iques to improve the damping of these oscillation modes. </w:t>
      </w:r>
    </w:p>
    <w:p w:rsidR="00000000" w:rsidRPr="005F7988" w:rsidRDefault="00BE4543" w:rsidP="005F7988">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F7988">
        <w:rPr>
          <w:rFonts w:ascii="Times New Roman" w:eastAsia="AdvGulliv-R" w:hAnsi="Times New Roman" w:cs="Times New Roman"/>
          <w:bCs/>
          <w:sz w:val="32"/>
          <w:szCs w:val="32"/>
          <w:lang w:val="en-IN"/>
        </w:rPr>
        <w:t>By introducing remote signals with global observability and controllability for interarea oscillation modes, wide-area damping controllers (WADCs) can provide additional damping to effectively impr</w:t>
      </w:r>
      <w:r w:rsidRPr="005F7988">
        <w:rPr>
          <w:rFonts w:ascii="Times New Roman" w:eastAsia="AdvGulliv-R" w:hAnsi="Times New Roman" w:cs="Times New Roman"/>
          <w:bCs/>
          <w:sz w:val="32"/>
          <w:szCs w:val="32"/>
          <w:lang w:val="en-IN"/>
        </w:rPr>
        <w:t xml:space="preserve">ove the weakly damped modes and achieve system-level control. </w:t>
      </w:r>
    </w:p>
    <w:p w:rsidR="00000000" w:rsidRPr="005F7988" w:rsidRDefault="00BE4543" w:rsidP="005F7988">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F7988">
        <w:rPr>
          <w:rFonts w:ascii="Times New Roman" w:eastAsia="AdvGulliv-R" w:hAnsi="Times New Roman" w:cs="Times New Roman"/>
          <w:bCs/>
          <w:sz w:val="32"/>
          <w:szCs w:val="32"/>
          <w:lang w:val="en-IN"/>
        </w:rPr>
        <w:t xml:space="preserve">However, the remote signals can bring inevitable time delays into the widearea closed loop, which may deteriorate WADC performance and even threaten the stability of power systems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5F7988" w:rsidRDefault="005F7988"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E2BB8" w:rsidRDefault="00963C29" w:rsidP="00E53AA4">
            <w:pPr>
              <w:tabs>
                <w:tab w:val="left" w:pos="720"/>
              </w:tabs>
              <w:spacing w:after="100" w:line="360" w:lineRule="auto"/>
              <w:jc w:val="both"/>
              <w:rPr>
                <w:rFonts w:ascii="Times New Roman" w:hAnsi="Times New Roman" w:cs="Times New Roman"/>
                <w:sz w:val="28"/>
                <w:szCs w:val="28"/>
              </w:rPr>
            </w:pPr>
            <w:r w:rsidRPr="006E2BB8">
              <w:rPr>
                <w:rFonts w:ascii="Times New Roman" w:eastAsia="Times New Roman" w:hAnsi="Times New Roman" w:cs="Times New Roman"/>
                <w:sz w:val="28"/>
                <w:szCs w:val="28"/>
                <w:lang w:val="en-IN"/>
              </w:rPr>
              <w:t>Design of the Pacific DC intertie wide area damping controller</w:t>
            </w:r>
          </w:p>
        </w:tc>
        <w:tc>
          <w:tcPr>
            <w:tcW w:w="3192" w:type="dxa"/>
          </w:tcPr>
          <w:p w:rsidR="000C407B" w:rsidRPr="006E2BB8" w:rsidRDefault="00963C29" w:rsidP="00963C29">
            <w:pPr>
              <w:tabs>
                <w:tab w:val="left" w:pos="720"/>
              </w:tabs>
              <w:spacing w:after="100" w:line="360" w:lineRule="auto"/>
              <w:jc w:val="both"/>
              <w:rPr>
                <w:rFonts w:ascii="Times New Roman" w:hAnsi="Times New Roman" w:cs="Times New Roman"/>
                <w:sz w:val="28"/>
                <w:szCs w:val="28"/>
              </w:rPr>
            </w:pPr>
            <w:r w:rsidRPr="006E2BB8">
              <w:rPr>
                <w:rFonts w:ascii="Times New Roman" w:eastAsia="Times New Roman" w:hAnsi="Times New Roman" w:cs="Times New Roman"/>
                <w:sz w:val="28"/>
                <w:szCs w:val="28"/>
                <w:lang w:val="en-IN"/>
              </w:rPr>
              <w:t xml:space="preserve">B. J. Pierre, F. Wilches-Bernal, D. A. Schoenwald, R. T. Elliott, D. J. Trudnowski, R. H. Byrne, and J. C. Neely, </w:t>
            </w:r>
          </w:p>
        </w:tc>
        <w:tc>
          <w:tcPr>
            <w:tcW w:w="3192" w:type="dxa"/>
          </w:tcPr>
          <w:p w:rsidR="000C407B" w:rsidRPr="006E2BB8" w:rsidRDefault="00963C29" w:rsidP="00E53AA4">
            <w:pPr>
              <w:tabs>
                <w:tab w:val="left" w:pos="720"/>
              </w:tabs>
              <w:spacing w:after="100" w:line="360" w:lineRule="auto"/>
              <w:jc w:val="both"/>
              <w:rPr>
                <w:rFonts w:ascii="Times New Roman" w:hAnsi="Times New Roman" w:cs="Times New Roman"/>
                <w:sz w:val="28"/>
                <w:szCs w:val="28"/>
              </w:rPr>
            </w:pPr>
            <w:r w:rsidRPr="006E2BB8">
              <w:rPr>
                <w:rFonts w:ascii="Times New Roman" w:hAnsi="Times New Roman" w:cs="Times New Roman"/>
                <w:color w:val="333333"/>
                <w:sz w:val="28"/>
                <w:szCs w:val="28"/>
                <w:shd w:val="clear" w:color="auto" w:fill="FFFFFF"/>
              </w:rPr>
              <w:t>The control system utilizes real-time phasor measurement unit (PMU) feedback to construct a commanded power signal which is added to the scheduled power flow for the PDCI.</w:t>
            </w:r>
          </w:p>
        </w:tc>
      </w:tr>
      <w:tr w:rsidR="000C407B" w:rsidTr="000C407B">
        <w:trPr>
          <w:trHeight w:val="2942"/>
        </w:trPr>
        <w:tc>
          <w:tcPr>
            <w:tcW w:w="3192" w:type="dxa"/>
          </w:tcPr>
          <w:p w:rsidR="000C407B" w:rsidRPr="006E2BB8" w:rsidRDefault="00963C29" w:rsidP="00E53AA4">
            <w:pPr>
              <w:tabs>
                <w:tab w:val="left" w:pos="720"/>
              </w:tabs>
              <w:spacing w:after="100" w:line="360" w:lineRule="auto"/>
              <w:jc w:val="both"/>
              <w:rPr>
                <w:rFonts w:ascii="Times New Roman" w:hAnsi="Times New Roman" w:cs="Times New Roman"/>
                <w:sz w:val="28"/>
                <w:szCs w:val="28"/>
              </w:rPr>
            </w:pPr>
            <w:r w:rsidRPr="006E2BB8">
              <w:rPr>
                <w:rFonts w:ascii="Times New Roman" w:hAnsi="Times New Roman" w:cs="Times New Roman"/>
                <w:sz w:val="28"/>
                <w:szCs w:val="28"/>
              </w:rPr>
              <w:t>Model validation for the August 10, 1996 WSCC system outage</w:t>
            </w:r>
          </w:p>
        </w:tc>
        <w:tc>
          <w:tcPr>
            <w:tcW w:w="3192" w:type="dxa"/>
          </w:tcPr>
          <w:p w:rsidR="000C407B" w:rsidRPr="006E2BB8" w:rsidRDefault="00963C29" w:rsidP="00963C29">
            <w:pPr>
              <w:tabs>
                <w:tab w:val="left" w:pos="720"/>
              </w:tabs>
              <w:spacing w:after="100" w:line="360" w:lineRule="auto"/>
              <w:jc w:val="both"/>
              <w:rPr>
                <w:rFonts w:ascii="Times New Roman" w:hAnsi="Times New Roman" w:cs="Times New Roman"/>
                <w:sz w:val="28"/>
                <w:szCs w:val="28"/>
              </w:rPr>
            </w:pPr>
            <w:r w:rsidRPr="006E2BB8">
              <w:rPr>
                <w:rFonts w:ascii="Times New Roman" w:hAnsi="Times New Roman" w:cs="Times New Roman"/>
                <w:sz w:val="28"/>
                <w:szCs w:val="28"/>
              </w:rPr>
              <w:t xml:space="preserve">D. N. Kosterev, C. W. Taylor, and W. A. Mittelstadt, </w:t>
            </w:r>
          </w:p>
        </w:tc>
        <w:tc>
          <w:tcPr>
            <w:tcW w:w="3192" w:type="dxa"/>
          </w:tcPr>
          <w:p w:rsidR="000C407B" w:rsidRPr="006E2BB8" w:rsidRDefault="00963C29" w:rsidP="00E53AA4">
            <w:pPr>
              <w:tabs>
                <w:tab w:val="left" w:pos="720"/>
              </w:tabs>
              <w:spacing w:after="100" w:line="360" w:lineRule="auto"/>
              <w:jc w:val="both"/>
              <w:rPr>
                <w:rFonts w:ascii="Times New Roman" w:hAnsi="Times New Roman" w:cs="Times New Roman"/>
                <w:sz w:val="28"/>
                <w:szCs w:val="28"/>
              </w:rPr>
            </w:pPr>
            <w:r w:rsidRPr="006E2BB8">
              <w:rPr>
                <w:rFonts w:ascii="Times New Roman" w:hAnsi="Times New Roman" w:cs="Times New Roman"/>
                <w:color w:val="333333"/>
                <w:sz w:val="28"/>
                <w:szCs w:val="28"/>
                <w:shd w:val="clear" w:color="auto" w:fill="FFFFFF"/>
              </w:rPr>
              <w:t>In this paper, the authors describe the simulation of this disturbance using a transient stability program.</w:t>
            </w:r>
          </w:p>
        </w:tc>
      </w:tr>
      <w:tr w:rsidR="000C407B" w:rsidTr="000C407B">
        <w:tc>
          <w:tcPr>
            <w:tcW w:w="3192" w:type="dxa"/>
          </w:tcPr>
          <w:p w:rsidR="000C407B" w:rsidRPr="006E2BB8" w:rsidRDefault="006E2BB8" w:rsidP="00E53AA4">
            <w:pPr>
              <w:tabs>
                <w:tab w:val="left" w:pos="720"/>
              </w:tabs>
              <w:spacing w:after="100" w:line="360" w:lineRule="auto"/>
              <w:jc w:val="both"/>
              <w:rPr>
                <w:rFonts w:ascii="Times New Roman" w:hAnsi="Times New Roman" w:cs="Times New Roman"/>
                <w:sz w:val="28"/>
                <w:szCs w:val="28"/>
              </w:rPr>
            </w:pPr>
            <w:r w:rsidRPr="006E2BB8">
              <w:rPr>
                <w:rFonts w:ascii="Times New Roman" w:hAnsi="Times New Roman" w:cs="Times New Roman"/>
                <w:sz w:val="28"/>
                <w:szCs w:val="28"/>
              </w:rPr>
              <w:t>Optimal PMU placement for power system dynamic state estimation by using empirical observability Gramian</w:t>
            </w:r>
          </w:p>
        </w:tc>
        <w:tc>
          <w:tcPr>
            <w:tcW w:w="3192" w:type="dxa"/>
          </w:tcPr>
          <w:p w:rsidR="000C407B" w:rsidRPr="006E2BB8" w:rsidRDefault="006E2BB8" w:rsidP="006E2BB8">
            <w:pPr>
              <w:tabs>
                <w:tab w:val="left" w:pos="720"/>
              </w:tabs>
              <w:spacing w:after="100" w:line="360" w:lineRule="auto"/>
              <w:jc w:val="both"/>
              <w:rPr>
                <w:rFonts w:ascii="Times New Roman" w:hAnsi="Times New Roman" w:cs="Times New Roman"/>
                <w:sz w:val="28"/>
                <w:szCs w:val="28"/>
              </w:rPr>
            </w:pPr>
            <w:r w:rsidRPr="006E2BB8">
              <w:rPr>
                <w:rFonts w:ascii="Times New Roman" w:hAnsi="Times New Roman" w:cs="Times New Roman"/>
                <w:sz w:val="28"/>
                <w:szCs w:val="28"/>
              </w:rPr>
              <w:t xml:space="preserve">J. Qi, K. Sun, and W. Kang, </w:t>
            </w:r>
          </w:p>
        </w:tc>
        <w:tc>
          <w:tcPr>
            <w:tcW w:w="3192" w:type="dxa"/>
          </w:tcPr>
          <w:p w:rsidR="000C407B" w:rsidRPr="006E2BB8" w:rsidRDefault="006E2BB8" w:rsidP="00E53AA4">
            <w:pPr>
              <w:tabs>
                <w:tab w:val="left" w:pos="720"/>
              </w:tabs>
              <w:spacing w:after="100" w:line="360" w:lineRule="auto"/>
              <w:jc w:val="both"/>
              <w:rPr>
                <w:rFonts w:ascii="Times New Roman" w:hAnsi="Times New Roman" w:cs="Times New Roman"/>
                <w:sz w:val="28"/>
                <w:szCs w:val="28"/>
              </w:rPr>
            </w:pPr>
            <w:r w:rsidRPr="006E2BB8">
              <w:rPr>
                <w:rFonts w:ascii="Times New Roman" w:hAnsi="Times New Roman" w:cs="Times New Roman"/>
                <w:color w:val="333333"/>
                <w:sz w:val="28"/>
                <w:szCs w:val="28"/>
                <w:shd w:val="clear" w:color="auto" w:fill="FFFFFF"/>
              </w:rPr>
              <w:t>The implementation, validation, and the robustness to load fluctuations and contingencies of the proposed method are carefully discussed.</w:t>
            </w:r>
          </w:p>
        </w:tc>
      </w:tr>
      <w:tr w:rsidR="000C407B" w:rsidTr="000C407B">
        <w:tc>
          <w:tcPr>
            <w:tcW w:w="3192" w:type="dxa"/>
          </w:tcPr>
          <w:p w:rsidR="000C407B" w:rsidRPr="006E2BB8" w:rsidRDefault="006E2BB8" w:rsidP="00E53AA4">
            <w:pPr>
              <w:tabs>
                <w:tab w:val="left" w:pos="720"/>
              </w:tabs>
              <w:spacing w:after="100" w:line="360" w:lineRule="auto"/>
              <w:jc w:val="both"/>
              <w:rPr>
                <w:rFonts w:ascii="Times New Roman" w:hAnsi="Times New Roman" w:cs="Times New Roman"/>
                <w:sz w:val="28"/>
                <w:szCs w:val="28"/>
              </w:rPr>
            </w:pPr>
            <w:r w:rsidRPr="006E2BB8">
              <w:rPr>
                <w:rFonts w:ascii="Times New Roman" w:hAnsi="Times New Roman" w:cs="Times New Roman"/>
                <w:sz w:val="28"/>
                <w:szCs w:val="28"/>
              </w:rPr>
              <w:t>Measurement and modeling of delays in wide-area closed-loop control systems</w:t>
            </w:r>
          </w:p>
        </w:tc>
        <w:tc>
          <w:tcPr>
            <w:tcW w:w="3192" w:type="dxa"/>
          </w:tcPr>
          <w:p w:rsidR="000C407B" w:rsidRPr="006E2BB8" w:rsidRDefault="006E2BB8" w:rsidP="006E2BB8">
            <w:pPr>
              <w:tabs>
                <w:tab w:val="left" w:pos="720"/>
              </w:tabs>
              <w:spacing w:after="100" w:line="360" w:lineRule="auto"/>
              <w:jc w:val="both"/>
              <w:rPr>
                <w:rFonts w:ascii="Times New Roman" w:hAnsi="Times New Roman" w:cs="Times New Roman"/>
                <w:sz w:val="28"/>
                <w:szCs w:val="28"/>
              </w:rPr>
            </w:pPr>
            <w:r w:rsidRPr="006E2BB8">
              <w:rPr>
                <w:rFonts w:ascii="Times New Roman" w:hAnsi="Times New Roman" w:cs="Times New Roman"/>
                <w:sz w:val="28"/>
                <w:szCs w:val="28"/>
              </w:rPr>
              <w:t xml:space="preserve">F. Zhang, Y. Sun, L. Cheng, X. Li, J. H. Chow, and W. Zhao, </w:t>
            </w:r>
          </w:p>
        </w:tc>
        <w:tc>
          <w:tcPr>
            <w:tcW w:w="3192" w:type="dxa"/>
          </w:tcPr>
          <w:p w:rsidR="000C407B" w:rsidRPr="006E2BB8" w:rsidRDefault="006E2BB8" w:rsidP="00E53AA4">
            <w:pPr>
              <w:tabs>
                <w:tab w:val="left" w:pos="720"/>
              </w:tabs>
              <w:spacing w:after="100" w:line="360" w:lineRule="auto"/>
              <w:jc w:val="both"/>
              <w:rPr>
                <w:rFonts w:ascii="Times New Roman" w:hAnsi="Times New Roman" w:cs="Times New Roman"/>
                <w:sz w:val="28"/>
                <w:szCs w:val="28"/>
              </w:rPr>
            </w:pPr>
            <w:r w:rsidRPr="006E2BB8">
              <w:rPr>
                <w:rFonts w:ascii="Times New Roman" w:hAnsi="Times New Roman" w:cs="Times New Roman"/>
                <w:color w:val="333333"/>
                <w:sz w:val="28"/>
                <w:szCs w:val="28"/>
                <w:shd w:val="clear" w:color="auto" w:fill="FFFFFF"/>
              </w:rPr>
              <w:t xml:space="preserve">This paper aims to study the measurement and modeling methods for delays in wide-area </w:t>
            </w:r>
            <w:r w:rsidRPr="006E2BB8">
              <w:rPr>
                <w:rFonts w:ascii="Times New Roman" w:hAnsi="Times New Roman" w:cs="Times New Roman"/>
                <w:color w:val="333333"/>
                <w:sz w:val="28"/>
                <w:szCs w:val="28"/>
                <w:shd w:val="clear" w:color="auto" w:fill="FFFFFF"/>
              </w:rPr>
              <w:lastRenderedPageBreak/>
              <w:t>closed-loop control systems (WACS).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6E2BB8" w:rsidRDefault="006E2BB8"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5F7988" w:rsidRDefault="005F7988" w:rsidP="00E53AA4">
      <w:pPr>
        <w:pStyle w:val="Heading6"/>
        <w:tabs>
          <w:tab w:val="left" w:pos="2160"/>
        </w:tabs>
        <w:spacing w:line="360" w:lineRule="auto"/>
        <w:jc w:val="both"/>
        <w:rPr>
          <w:rFonts w:asciiTheme="minorHAnsi" w:eastAsiaTheme="minorHAnsi" w:hAnsiTheme="minorHAnsi" w:cstheme="minorBidi"/>
          <w:i w:val="0"/>
          <w:iCs w:val="0"/>
          <w:color w:val="auto"/>
        </w:rPr>
      </w:pPr>
    </w:p>
    <w:p w:rsidR="005F7988" w:rsidRDefault="005F7988" w:rsidP="005F7988"/>
    <w:p w:rsidR="005F7988" w:rsidRPr="005F7988" w:rsidRDefault="005F7988" w:rsidP="005F7988"/>
    <w:p w:rsidR="00305BF0" w:rsidRPr="00D81E16" w:rsidRDefault="00305BF0" w:rsidP="005F7988">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6072D" w:rsidRDefault="00E6072D" w:rsidP="00E53AA4">
      <w:pPr>
        <w:spacing w:after="0" w:line="360" w:lineRule="auto"/>
        <w:jc w:val="both"/>
        <w:rPr>
          <w:rFonts w:ascii="Times New Roman" w:hAnsi="Times New Roman" w:cs="Times New Roman"/>
          <w:b/>
          <w:sz w:val="24"/>
          <w:szCs w:val="24"/>
        </w:rPr>
      </w:pPr>
      <w:r w:rsidRPr="00E6072D">
        <w:rPr>
          <w:rFonts w:ascii="Times New Roman" w:hAnsi="Times New Roman" w:cs="Times New Roman"/>
          <w:b/>
          <w:sz w:val="24"/>
          <w:szCs w:val="24"/>
        </w:rPr>
        <w:t xml:space="preserve"> </w:t>
      </w:r>
      <w:r w:rsidR="00405E73" w:rsidRPr="005F7988">
        <w:rPr>
          <w:rFonts w:ascii="Times New Roman" w:hAnsi="Times New Roman" w:cs="Times New Roman"/>
          <w:b/>
          <w:sz w:val="36"/>
          <w:szCs w:val="36"/>
        </w:rPr>
        <w:t>SYSTEM ARCHICTURE</w:t>
      </w:r>
    </w:p>
    <w:p w:rsidR="00D81E16" w:rsidRDefault="00D81E16" w:rsidP="00E53AA4">
      <w:pPr>
        <w:spacing w:after="0" w:line="360" w:lineRule="auto"/>
        <w:jc w:val="both"/>
        <w:rPr>
          <w:rFonts w:ascii="Times New Roman" w:hAnsi="Times New Roman" w:cs="Times New Roman"/>
        </w:rPr>
      </w:pPr>
    </w:p>
    <w:p w:rsidR="00D81E16" w:rsidRDefault="005F7988" w:rsidP="00E53AA4">
      <w:pPr>
        <w:spacing w:after="0" w:line="360" w:lineRule="auto"/>
        <w:jc w:val="both"/>
        <w:rPr>
          <w:rFonts w:ascii="Times New Roman" w:hAnsi="Times New Roman" w:cs="Times New Roman"/>
        </w:rPr>
      </w:pPr>
      <w:r w:rsidRPr="005F7988">
        <w:rPr>
          <w:rFonts w:ascii="Times New Roman" w:hAnsi="Times New Roman" w:cs="Times New Roman"/>
        </w:rPr>
        <w:drawing>
          <wp:inline distT="0" distB="0" distL="0" distR="0">
            <wp:extent cx="5943600" cy="3940175"/>
            <wp:effectExtent l="19050" t="0" r="0" b="0"/>
            <wp:docPr id="2"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jpg"/>
                    <pic:cNvPicPr>
                      <a:picLocks noGrp="1" noChangeAspect="1" noChangeArrowheads="1"/>
                    </pic:cNvPicPr>
                  </pic:nvPicPr>
                  <pic:blipFill>
                    <a:blip r:embed="rId8"/>
                    <a:srcRect/>
                    <a:stretch>
                      <a:fillRect/>
                    </a:stretch>
                  </pic:blipFill>
                  <pic:spPr bwMode="auto">
                    <a:xfrm>
                      <a:off x="0" y="0"/>
                      <a:ext cx="5943600" cy="394017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F7988" w:rsidRPr="005F7988" w:rsidRDefault="005F7988" w:rsidP="005F7988">
      <w:pPr>
        <w:pStyle w:val="BodyText"/>
        <w:rPr>
          <w:bCs/>
          <w:iCs/>
          <w:sz w:val="32"/>
          <w:szCs w:val="32"/>
          <w:lang w:val="en-IN"/>
        </w:rPr>
      </w:pPr>
      <w:r w:rsidRPr="005F7988">
        <w:rPr>
          <w:bCs/>
          <w:iCs/>
          <w:sz w:val="32"/>
          <w:szCs w:val="32"/>
          <w:lang w:val="en-IN"/>
        </w:rPr>
        <w:t xml:space="preserve">    The continuation of invariant subspaces is extended to TDPS and is utilized for accurately tracking eigenvalue trajectories. The proposed method can handle eigenvalues from both forms of DDEs and DDAEs. The method has the following features: 1) When WADCs’ parameters or time delays change, the trajectories of critical eigenvalue can be accurately tracked by the proposed method, which facilitates the follow-up SSSA and WADC design for TDPS. 2) Sensitivities of eigenvalues and eigenvectors to WADCs’ parameters and time delays are obtained as by-products, which can be used to guide tuning of controller parameters and determine the directions of eigenvalue trajectories. 3) By fully utilizing the sparsity of system augmented state matrices, the linear equations are solved by the proposed block and sparse implementation, which highlights the scalability and computation efficiency. 4) In the tested real-world power grids, the efficiency can be improved more than 74% by the proposed method than the existing methods. As system size increases, advantage in computation speed becomes more apparent.</w:t>
      </w:r>
      <w:r w:rsidRPr="005F7988">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F7988" w:rsidRDefault="003C0F6F" w:rsidP="00E53AA4">
      <w:pPr>
        <w:pStyle w:val="BodyText"/>
        <w:rPr>
          <w:b/>
          <w:iCs/>
          <w:sz w:val="28"/>
          <w:szCs w:val="28"/>
        </w:rPr>
      </w:pPr>
      <w:r>
        <w:rPr>
          <w:b/>
          <w:iCs/>
          <w:sz w:val="28"/>
          <w:szCs w:val="28"/>
        </w:rPr>
        <w:t xml:space="preserve">               </w:t>
      </w:r>
    </w:p>
    <w:p w:rsidR="005F7988" w:rsidRDefault="005F7988" w:rsidP="00E53AA4">
      <w:pPr>
        <w:pStyle w:val="BodyText"/>
        <w:rPr>
          <w:b/>
          <w:iCs/>
          <w:sz w:val="28"/>
          <w:szCs w:val="28"/>
        </w:rPr>
      </w:pPr>
    </w:p>
    <w:p w:rsidR="005F7988" w:rsidRDefault="005F7988" w:rsidP="00E53AA4">
      <w:pPr>
        <w:pStyle w:val="BodyText"/>
        <w:rPr>
          <w:b/>
          <w:iCs/>
          <w:sz w:val="28"/>
          <w:szCs w:val="28"/>
        </w:rPr>
      </w:pPr>
    </w:p>
    <w:p w:rsidR="005F7988" w:rsidRDefault="005F7988" w:rsidP="00E53AA4">
      <w:pPr>
        <w:pStyle w:val="BodyText"/>
        <w:rPr>
          <w:b/>
          <w:iCs/>
          <w:sz w:val="28"/>
          <w:szCs w:val="28"/>
        </w:rPr>
      </w:pPr>
    </w:p>
    <w:p w:rsidR="00370D47" w:rsidRPr="003C0F6F" w:rsidRDefault="00370D47" w:rsidP="005F7988">
      <w:pPr>
        <w:pStyle w:val="BodyText"/>
        <w:jc w:val="center"/>
        <w:rPr>
          <w:b/>
          <w:iCs/>
          <w:sz w:val="40"/>
          <w:szCs w:val="40"/>
        </w:rPr>
      </w:pPr>
      <w:r w:rsidRPr="003C0F6F">
        <w:rPr>
          <w:b/>
          <w:iCs/>
          <w:sz w:val="40"/>
          <w:szCs w:val="40"/>
        </w:rPr>
        <w:lastRenderedPageBreak/>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F7988" w:rsidRDefault="00BE4543" w:rsidP="005F7988">
      <w:pPr>
        <w:pStyle w:val="BodyText"/>
        <w:numPr>
          <w:ilvl w:val="0"/>
          <w:numId w:val="46"/>
        </w:numPr>
        <w:rPr>
          <w:sz w:val="32"/>
          <w:szCs w:val="32"/>
          <w:lang w:val="en-IN"/>
        </w:rPr>
      </w:pPr>
      <w:r w:rsidRPr="005F7988">
        <w:rPr>
          <w:sz w:val="32"/>
          <w:szCs w:val="32"/>
          <w:lang w:val="en-IN"/>
        </w:rPr>
        <w:t>[1] B. J. Pierre, F. Wilches-Bernal, D. A. Schoenwald, R. T. Elliott, D. J. Trudnowski, R. H. Byrne, and J. C. Neely, “Design of the Pacific DC intertie wide area damping controlle</w:t>
      </w:r>
      <w:r w:rsidRPr="005F7988">
        <w:rPr>
          <w:sz w:val="32"/>
          <w:szCs w:val="32"/>
          <w:lang w:val="en-IN"/>
        </w:rPr>
        <w:t xml:space="preserve">r,” IEEE Trans. Power Syst., vol. 34, no. 5, pp. 3594–3604, Sep. 2019. </w:t>
      </w:r>
    </w:p>
    <w:p w:rsidR="00000000" w:rsidRPr="005F7988" w:rsidRDefault="00BE4543" w:rsidP="005F7988">
      <w:pPr>
        <w:pStyle w:val="BodyText"/>
        <w:numPr>
          <w:ilvl w:val="0"/>
          <w:numId w:val="46"/>
        </w:numPr>
        <w:rPr>
          <w:sz w:val="32"/>
          <w:szCs w:val="32"/>
          <w:lang w:val="en-IN"/>
        </w:rPr>
      </w:pPr>
      <w:r w:rsidRPr="005F7988">
        <w:rPr>
          <w:sz w:val="32"/>
          <w:szCs w:val="32"/>
          <w:lang w:val="en-IN"/>
        </w:rPr>
        <w:t xml:space="preserve">[2] D. N. Kosterev, C. W. Taylor, and W. A. Mittelstadt, “Model validation for the August 10, 1996 WSCC system outage,” IEEE Trans. Power </w:t>
      </w:r>
      <w:r w:rsidRPr="005F7988">
        <w:rPr>
          <w:sz w:val="32"/>
          <w:szCs w:val="32"/>
          <w:lang w:val="en-IN"/>
        </w:rPr>
        <w:t xml:space="preserve">Syst., vol. 14, no. 3, pp. 967–979, Aug. 1999. </w:t>
      </w:r>
    </w:p>
    <w:p w:rsidR="00000000" w:rsidRPr="005F7988" w:rsidRDefault="00BE4543" w:rsidP="005F7988">
      <w:pPr>
        <w:pStyle w:val="BodyText"/>
        <w:numPr>
          <w:ilvl w:val="0"/>
          <w:numId w:val="46"/>
        </w:numPr>
        <w:rPr>
          <w:sz w:val="32"/>
          <w:szCs w:val="32"/>
          <w:lang w:val="en-IN"/>
        </w:rPr>
      </w:pPr>
      <w:r w:rsidRPr="005F7988">
        <w:rPr>
          <w:sz w:val="32"/>
          <w:szCs w:val="32"/>
          <w:lang w:val="en-IN"/>
        </w:rPr>
        <w:t xml:space="preserve">[3] J. Qi, K. Sun, and W. Kang, “Optimal PMU placement for power system dynamic state estimation by using empirical observability Gramian,” IEEE Trans. Power Syst., vol. 30, no. 4, pp. 2041–2054, Jul. 2015. </w:t>
      </w:r>
    </w:p>
    <w:p w:rsidR="00000000" w:rsidRPr="005F7988" w:rsidRDefault="00BE4543" w:rsidP="005F7988">
      <w:pPr>
        <w:pStyle w:val="BodyText"/>
        <w:numPr>
          <w:ilvl w:val="0"/>
          <w:numId w:val="46"/>
        </w:numPr>
        <w:rPr>
          <w:sz w:val="32"/>
          <w:szCs w:val="32"/>
          <w:lang w:val="en-IN"/>
        </w:rPr>
      </w:pPr>
      <w:r w:rsidRPr="005F7988">
        <w:rPr>
          <w:sz w:val="32"/>
          <w:szCs w:val="32"/>
          <w:lang w:val="en-IN"/>
        </w:rPr>
        <w:t xml:space="preserve">[4] F. Zhang, Y. Sun, L. Cheng, X. Li, J. H. Chow, and W. Zhao, “Measurement and modeling of delays in wide-area closed-loop control systems,” IEEE Trans. Power Syst., vol. 30, no. 5, pp. 2426–2433, Sep. 2015. </w:t>
      </w:r>
    </w:p>
    <w:p w:rsidR="00000000" w:rsidRPr="005F7988" w:rsidRDefault="00BE4543" w:rsidP="005F7988">
      <w:pPr>
        <w:pStyle w:val="BodyText"/>
        <w:numPr>
          <w:ilvl w:val="0"/>
          <w:numId w:val="46"/>
        </w:numPr>
        <w:rPr>
          <w:sz w:val="32"/>
          <w:szCs w:val="32"/>
          <w:lang w:val="en-IN"/>
        </w:rPr>
      </w:pPr>
      <w:r w:rsidRPr="005F7988">
        <w:rPr>
          <w:sz w:val="32"/>
          <w:szCs w:val="32"/>
          <w:lang w:val="en-IN"/>
        </w:rPr>
        <w:t>[5] Y. Shen, W. Yao, J. Wen, H. He, and W.</w:t>
      </w:r>
      <w:r w:rsidRPr="005F7988">
        <w:rPr>
          <w:sz w:val="32"/>
          <w:szCs w:val="32"/>
          <w:lang w:val="en-IN"/>
        </w:rPr>
        <w:t xml:space="preserve"> Chen, “Adaptive supplementary damping control of VSC-HVDC for interarea oscillation using GrHDP,” IEEE Trans. Power Syst., vol. 33, no. 2, pp. 1777–1789, Mar. 2018</w:t>
      </w:r>
      <w:r w:rsidRPr="005F7988">
        <w:rPr>
          <w:sz w:val="32"/>
          <w:szCs w:val="32"/>
        </w:rPr>
        <w:t xml:space="preserve"> </w:t>
      </w:r>
    </w:p>
    <w:p w:rsidR="00000000" w:rsidRPr="005F7988" w:rsidRDefault="00BE4543" w:rsidP="005F7988">
      <w:pPr>
        <w:pStyle w:val="BodyText"/>
        <w:numPr>
          <w:ilvl w:val="0"/>
          <w:numId w:val="46"/>
        </w:numPr>
        <w:rPr>
          <w:sz w:val="32"/>
          <w:szCs w:val="32"/>
          <w:lang w:val="en-IN"/>
        </w:rPr>
      </w:pPr>
      <w:r w:rsidRPr="005F7988">
        <w:rPr>
          <w:sz w:val="32"/>
          <w:szCs w:val="32"/>
          <w:lang w:val="en-IN"/>
        </w:rPr>
        <w:t>[6] H. Ye, Q. Mou, and Y. Liu, “Calculation of critical oscillation modes for large delay</w:t>
      </w:r>
      <w:r w:rsidRPr="005F7988">
        <w:rPr>
          <w:sz w:val="32"/>
          <w:szCs w:val="32"/>
          <w:lang w:val="en-IN"/>
        </w:rPr>
        <w:t xml:space="preserve">ed cyber-physical power system using </w:t>
      </w:r>
      <w:r w:rsidRPr="005F7988">
        <w:rPr>
          <w:sz w:val="32"/>
          <w:szCs w:val="32"/>
          <w:lang w:val="en-IN"/>
        </w:rPr>
        <w:lastRenderedPageBreak/>
        <w:t xml:space="preserve">pseudo-spectral discretization of solution operator,” IEEE Trans. Power Syst., vol. 32, no. 6, pp. 4464–4476, Nov. 2017. </w:t>
      </w:r>
    </w:p>
    <w:p w:rsidR="00000000" w:rsidRPr="005F7988" w:rsidRDefault="00BE4543" w:rsidP="005F7988">
      <w:pPr>
        <w:pStyle w:val="BodyText"/>
        <w:numPr>
          <w:ilvl w:val="0"/>
          <w:numId w:val="46"/>
        </w:numPr>
        <w:rPr>
          <w:sz w:val="32"/>
          <w:szCs w:val="32"/>
          <w:lang w:val="en-IN"/>
        </w:rPr>
      </w:pPr>
      <w:r w:rsidRPr="005F7988">
        <w:rPr>
          <w:sz w:val="32"/>
          <w:szCs w:val="32"/>
          <w:lang w:val="en-IN"/>
        </w:rPr>
        <w:t>[7] C. Li, G. Li, C. Wang, and Z. Du, “Eigenvalue sensitivity and eigenvalue tracing of power sy</w:t>
      </w:r>
      <w:r w:rsidRPr="005F7988">
        <w:rPr>
          <w:sz w:val="32"/>
          <w:szCs w:val="32"/>
          <w:lang w:val="en-IN"/>
        </w:rPr>
        <w:t xml:space="preserve">stems with inclusion of time delays,” IEEE Trans. Power Syst., vol. 33, no. 4, pp. 3711–3719, Jul. 2018. </w:t>
      </w:r>
    </w:p>
    <w:p w:rsidR="00000000" w:rsidRPr="005F7988" w:rsidRDefault="00BE4543" w:rsidP="005F7988">
      <w:pPr>
        <w:pStyle w:val="BodyText"/>
        <w:numPr>
          <w:ilvl w:val="0"/>
          <w:numId w:val="46"/>
        </w:numPr>
        <w:rPr>
          <w:sz w:val="32"/>
          <w:szCs w:val="32"/>
          <w:lang w:val="en-IN"/>
        </w:rPr>
      </w:pPr>
      <w:r w:rsidRPr="005F7988">
        <w:rPr>
          <w:sz w:val="32"/>
          <w:szCs w:val="32"/>
          <w:lang w:val="en-IN"/>
        </w:rPr>
        <w:t xml:space="preserve">[8] Q. Mou, H. Ye, and Y. Liu, “Nonsmooth optimization-based WADC tuning in large delayed cyber-physical power system by interarea mode tracking and </w:t>
      </w:r>
      <w:r w:rsidRPr="005F7988">
        <w:rPr>
          <w:sz w:val="32"/>
          <w:szCs w:val="32"/>
          <w:lang w:val="en-IN"/>
        </w:rPr>
        <w:t xml:space="preserve">gradient sampling,” IEEE Trans. Power Syst., vol. 34, no. 1, pp. 668–679, Dec. 2019. </w:t>
      </w:r>
    </w:p>
    <w:p w:rsidR="00000000" w:rsidRPr="005F7988" w:rsidRDefault="00BE4543" w:rsidP="005F7988">
      <w:pPr>
        <w:pStyle w:val="BodyText"/>
        <w:numPr>
          <w:ilvl w:val="0"/>
          <w:numId w:val="46"/>
        </w:numPr>
        <w:rPr>
          <w:sz w:val="32"/>
          <w:szCs w:val="32"/>
          <w:lang w:val="en-IN"/>
        </w:rPr>
      </w:pPr>
      <w:r w:rsidRPr="005F7988">
        <w:rPr>
          <w:sz w:val="32"/>
          <w:szCs w:val="32"/>
          <w:lang w:val="en-IN"/>
        </w:rPr>
        <w:t>[9] D. Yang and V. Ajjarapu, “Critical eigenvalues tracing for power system analysis via continuation of invariant subspaces and projected Arnoldi method,” IEEE Trans. P</w:t>
      </w:r>
      <w:r w:rsidRPr="005F7988">
        <w:rPr>
          <w:sz w:val="32"/>
          <w:szCs w:val="32"/>
          <w:lang w:val="en-IN"/>
        </w:rPr>
        <w:t xml:space="preserve">ower Syst., vol. 22, no. 1, pp. 324–332, Feb. 2007. </w:t>
      </w:r>
    </w:p>
    <w:p w:rsidR="00000000" w:rsidRPr="005F7988" w:rsidRDefault="00BE4543" w:rsidP="005F7988">
      <w:pPr>
        <w:pStyle w:val="BodyText"/>
        <w:numPr>
          <w:ilvl w:val="0"/>
          <w:numId w:val="46"/>
        </w:numPr>
        <w:rPr>
          <w:sz w:val="32"/>
          <w:szCs w:val="32"/>
          <w:lang w:val="en-IN"/>
        </w:rPr>
      </w:pPr>
      <w:r w:rsidRPr="005F7988">
        <w:rPr>
          <w:sz w:val="32"/>
          <w:szCs w:val="32"/>
          <w:lang w:val="en-IN"/>
        </w:rPr>
        <w:t>[10] J. Rommes and N. Martins, “Computing large-scale system eigenvalues most sensitive to parameter changes, with applications to power system small-signal stability,” IEEE Trans. Power Syst., vol. 23,</w:t>
      </w:r>
      <w:r w:rsidRPr="005F7988">
        <w:rPr>
          <w:sz w:val="32"/>
          <w:szCs w:val="32"/>
          <w:lang w:val="en-IN"/>
        </w:rPr>
        <w:t xml:space="preserve"> no. 2, pp. 434– 442, May 2008.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4543" w:rsidRDefault="00BE4543" w:rsidP="003654DF">
      <w:pPr>
        <w:spacing w:after="0" w:line="240" w:lineRule="auto"/>
      </w:pPr>
      <w:r>
        <w:separator/>
      </w:r>
    </w:p>
  </w:endnote>
  <w:endnote w:type="continuationSeparator" w:id="1">
    <w:p w:rsidR="00BE4543" w:rsidRDefault="00BE454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4543" w:rsidRDefault="00BE4543" w:rsidP="003654DF">
      <w:pPr>
        <w:spacing w:after="0" w:line="240" w:lineRule="auto"/>
      </w:pPr>
      <w:r>
        <w:separator/>
      </w:r>
    </w:p>
  </w:footnote>
  <w:footnote w:type="continuationSeparator" w:id="1">
    <w:p w:rsidR="00BE4543" w:rsidRDefault="00BE454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6666C">
        <w:pPr>
          <w:pStyle w:val="Header"/>
          <w:jc w:val="right"/>
        </w:pPr>
        <w:fldSimple w:instr=" PAGE   \* MERGEFORMAT ">
          <w:r w:rsidR="006E2BB8">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667CA"/>
    <w:multiLevelType w:val="hybridMultilevel"/>
    <w:tmpl w:val="DA94FBD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260868"/>
    <w:multiLevelType w:val="hybridMultilevel"/>
    <w:tmpl w:val="7DE428BE"/>
    <w:lvl w:ilvl="0" w:tplc="4F920DF0">
      <w:start w:val="1"/>
      <w:numFmt w:val="bullet"/>
      <w:lvlText w:val=""/>
      <w:lvlJc w:val="left"/>
      <w:pPr>
        <w:tabs>
          <w:tab w:val="num" w:pos="720"/>
        </w:tabs>
        <w:ind w:left="720" w:hanging="360"/>
      </w:pPr>
      <w:rPr>
        <w:rFonts w:ascii="Wingdings 2" w:hAnsi="Wingdings 2" w:hint="default"/>
      </w:rPr>
    </w:lvl>
    <w:lvl w:ilvl="1" w:tplc="12467228" w:tentative="1">
      <w:start w:val="1"/>
      <w:numFmt w:val="bullet"/>
      <w:lvlText w:val=""/>
      <w:lvlJc w:val="left"/>
      <w:pPr>
        <w:tabs>
          <w:tab w:val="num" w:pos="1440"/>
        </w:tabs>
        <w:ind w:left="1440" w:hanging="360"/>
      </w:pPr>
      <w:rPr>
        <w:rFonts w:ascii="Wingdings 2" w:hAnsi="Wingdings 2" w:hint="default"/>
      </w:rPr>
    </w:lvl>
    <w:lvl w:ilvl="2" w:tplc="E7880282" w:tentative="1">
      <w:start w:val="1"/>
      <w:numFmt w:val="bullet"/>
      <w:lvlText w:val=""/>
      <w:lvlJc w:val="left"/>
      <w:pPr>
        <w:tabs>
          <w:tab w:val="num" w:pos="2160"/>
        </w:tabs>
        <w:ind w:left="2160" w:hanging="360"/>
      </w:pPr>
      <w:rPr>
        <w:rFonts w:ascii="Wingdings 2" w:hAnsi="Wingdings 2" w:hint="default"/>
      </w:rPr>
    </w:lvl>
    <w:lvl w:ilvl="3" w:tplc="72B4BF12" w:tentative="1">
      <w:start w:val="1"/>
      <w:numFmt w:val="bullet"/>
      <w:lvlText w:val=""/>
      <w:lvlJc w:val="left"/>
      <w:pPr>
        <w:tabs>
          <w:tab w:val="num" w:pos="2880"/>
        </w:tabs>
        <w:ind w:left="2880" w:hanging="360"/>
      </w:pPr>
      <w:rPr>
        <w:rFonts w:ascii="Wingdings 2" w:hAnsi="Wingdings 2" w:hint="default"/>
      </w:rPr>
    </w:lvl>
    <w:lvl w:ilvl="4" w:tplc="CC5A4984" w:tentative="1">
      <w:start w:val="1"/>
      <w:numFmt w:val="bullet"/>
      <w:lvlText w:val=""/>
      <w:lvlJc w:val="left"/>
      <w:pPr>
        <w:tabs>
          <w:tab w:val="num" w:pos="3600"/>
        </w:tabs>
        <w:ind w:left="3600" w:hanging="360"/>
      </w:pPr>
      <w:rPr>
        <w:rFonts w:ascii="Wingdings 2" w:hAnsi="Wingdings 2" w:hint="default"/>
      </w:rPr>
    </w:lvl>
    <w:lvl w:ilvl="5" w:tplc="CC44D1EE" w:tentative="1">
      <w:start w:val="1"/>
      <w:numFmt w:val="bullet"/>
      <w:lvlText w:val=""/>
      <w:lvlJc w:val="left"/>
      <w:pPr>
        <w:tabs>
          <w:tab w:val="num" w:pos="4320"/>
        </w:tabs>
        <w:ind w:left="4320" w:hanging="360"/>
      </w:pPr>
      <w:rPr>
        <w:rFonts w:ascii="Wingdings 2" w:hAnsi="Wingdings 2" w:hint="default"/>
      </w:rPr>
    </w:lvl>
    <w:lvl w:ilvl="6" w:tplc="263ADA94" w:tentative="1">
      <w:start w:val="1"/>
      <w:numFmt w:val="bullet"/>
      <w:lvlText w:val=""/>
      <w:lvlJc w:val="left"/>
      <w:pPr>
        <w:tabs>
          <w:tab w:val="num" w:pos="5040"/>
        </w:tabs>
        <w:ind w:left="5040" w:hanging="360"/>
      </w:pPr>
      <w:rPr>
        <w:rFonts w:ascii="Wingdings 2" w:hAnsi="Wingdings 2" w:hint="default"/>
      </w:rPr>
    </w:lvl>
    <w:lvl w:ilvl="7" w:tplc="21E83C32" w:tentative="1">
      <w:start w:val="1"/>
      <w:numFmt w:val="bullet"/>
      <w:lvlText w:val=""/>
      <w:lvlJc w:val="left"/>
      <w:pPr>
        <w:tabs>
          <w:tab w:val="num" w:pos="5760"/>
        </w:tabs>
        <w:ind w:left="5760" w:hanging="360"/>
      </w:pPr>
      <w:rPr>
        <w:rFonts w:ascii="Wingdings 2" w:hAnsi="Wingdings 2" w:hint="default"/>
      </w:rPr>
    </w:lvl>
    <w:lvl w:ilvl="8" w:tplc="B7D6FFE6"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4D01BEB"/>
    <w:multiLevelType w:val="hybridMultilevel"/>
    <w:tmpl w:val="5D4C83D4"/>
    <w:lvl w:ilvl="0" w:tplc="BA363D10">
      <w:start w:val="1"/>
      <w:numFmt w:val="bullet"/>
      <w:lvlText w:val=""/>
      <w:lvlJc w:val="left"/>
      <w:pPr>
        <w:tabs>
          <w:tab w:val="num" w:pos="720"/>
        </w:tabs>
        <w:ind w:left="720" w:hanging="360"/>
      </w:pPr>
      <w:rPr>
        <w:rFonts w:ascii="Wingdings 2" w:hAnsi="Wingdings 2" w:hint="default"/>
      </w:rPr>
    </w:lvl>
    <w:lvl w:ilvl="1" w:tplc="DE3A0804" w:tentative="1">
      <w:start w:val="1"/>
      <w:numFmt w:val="bullet"/>
      <w:lvlText w:val=""/>
      <w:lvlJc w:val="left"/>
      <w:pPr>
        <w:tabs>
          <w:tab w:val="num" w:pos="1440"/>
        </w:tabs>
        <w:ind w:left="1440" w:hanging="360"/>
      </w:pPr>
      <w:rPr>
        <w:rFonts w:ascii="Wingdings 2" w:hAnsi="Wingdings 2" w:hint="default"/>
      </w:rPr>
    </w:lvl>
    <w:lvl w:ilvl="2" w:tplc="043CE82A" w:tentative="1">
      <w:start w:val="1"/>
      <w:numFmt w:val="bullet"/>
      <w:lvlText w:val=""/>
      <w:lvlJc w:val="left"/>
      <w:pPr>
        <w:tabs>
          <w:tab w:val="num" w:pos="2160"/>
        </w:tabs>
        <w:ind w:left="2160" w:hanging="360"/>
      </w:pPr>
      <w:rPr>
        <w:rFonts w:ascii="Wingdings 2" w:hAnsi="Wingdings 2" w:hint="default"/>
      </w:rPr>
    </w:lvl>
    <w:lvl w:ilvl="3" w:tplc="3E34B2DC" w:tentative="1">
      <w:start w:val="1"/>
      <w:numFmt w:val="bullet"/>
      <w:lvlText w:val=""/>
      <w:lvlJc w:val="left"/>
      <w:pPr>
        <w:tabs>
          <w:tab w:val="num" w:pos="2880"/>
        </w:tabs>
        <w:ind w:left="2880" w:hanging="360"/>
      </w:pPr>
      <w:rPr>
        <w:rFonts w:ascii="Wingdings 2" w:hAnsi="Wingdings 2" w:hint="default"/>
      </w:rPr>
    </w:lvl>
    <w:lvl w:ilvl="4" w:tplc="498E3058" w:tentative="1">
      <w:start w:val="1"/>
      <w:numFmt w:val="bullet"/>
      <w:lvlText w:val=""/>
      <w:lvlJc w:val="left"/>
      <w:pPr>
        <w:tabs>
          <w:tab w:val="num" w:pos="3600"/>
        </w:tabs>
        <w:ind w:left="3600" w:hanging="360"/>
      </w:pPr>
      <w:rPr>
        <w:rFonts w:ascii="Wingdings 2" w:hAnsi="Wingdings 2" w:hint="default"/>
      </w:rPr>
    </w:lvl>
    <w:lvl w:ilvl="5" w:tplc="2660A764" w:tentative="1">
      <w:start w:val="1"/>
      <w:numFmt w:val="bullet"/>
      <w:lvlText w:val=""/>
      <w:lvlJc w:val="left"/>
      <w:pPr>
        <w:tabs>
          <w:tab w:val="num" w:pos="4320"/>
        </w:tabs>
        <w:ind w:left="4320" w:hanging="360"/>
      </w:pPr>
      <w:rPr>
        <w:rFonts w:ascii="Wingdings 2" w:hAnsi="Wingdings 2" w:hint="default"/>
      </w:rPr>
    </w:lvl>
    <w:lvl w:ilvl="6" w:tplc="2CAC1EDA" w:tentative="1">
      <w:start w:val="1"/>
      <w:numFmt w:val="bullet"/>
      <w:lvlText w:val=""/>
      <w:lvlJc w:val="left"/>
      <w:pPr>
        <w:tabs>
          <w:tab w:val="num" w:pos="5040"/>
        </w:tabs>
        <w:ind w:left="5040" w:hanging="360"/>
      </w:pPr>
      <w:rPr>
        <w:rFonts w:ascii="Wingdings 2" w:hAnsi="Wingdings 2" w:hint="default"/>
      </w:rPr>
    </w:lvl>
    <w:lvl w:ilvl="7" w:tplc="1C2E95B2" w:tentative="1">
      <w:start w:val="1"/>
      <w:numFmt w:val="bullet"/>
      <w:lvlText w:val=""/>
      <w:lvlJc w:val="left"/>
      <w:pPr>
        <w:tabs>
          <w:tab w:val="num" w:pos="5760"/>
        </w:tabs>
        <w:ind w:left="5760" w:hanging="360"/>
      </w:pPr>
      <w:rPr>
        <w:rFonts w:ascii="Wingdings 2" w:hAnsi="Wingdings 2" w:hint="default"/>
      </w:rPr>
    </w:lvl>
    <w:lvl w:ilvl="8" w:tplc="3F285CD6"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62372D1"/>
    <w:multiLevelType w:val="hybridMultilevel"/>
    <w:tmpl w:val="0CF211F8"/>
    <w:lvl w:ilvl="0" w:tplc="DAE0727A">
      <w:start w:val="1"/>
      <w:numFmt w:val="bullet"/>
      <w:lvlText w:val=""/>
      <w:lvlJc w:val="left"/>
      <w:pPr>
        <w:tabs>
          <w:tab w:val="num" w:pos="720"/>
        </w:tabs>
        <w:ind w:left="720" w:hanging="360"/>
      </w:pPr>
      <w:rPr>
        <w:rFonts w:ascii="Wingdings 2" w:hAnsi="Wingdings 2" w:hint="default"/>
      </w:rPr>
    </w:lvl>
    <w:lvl w:ilvl="1" w:tplc="30E05F32" w:tentative="1">
      <w:start w:val="1"/>
      <w:numFmt w:val="bullet"/>
      <w:lvlText w:val=""/>
      <w:lvlJc w:val="left"/>
      <w:pPr>
        <w:tabs>
          <w:tab w:val="num" w:pos="1440"/>
        </w:tabs>
        <w:ind w:left="1440" w:hanging="360"/>
      </w:pPr>
      <w:rPr>
        <w:rFonts w:ascii="Wingdings 2" w:hAnsi="Wingdings 2" w:hint="default"/>
      </w:rPr>
    </w:lvl>
    <w:lvl w:ilvl="2" w:tplc="8ACACF40" w:tentative="1">
      <w:start w:val="1"/>
      <w:numFmt w:val="bullet"/>
      <w:lvlText w:val=""/>
      <w:lvlJc w:val="left"/>
      <w:pPr>
        <w:tabs>
          <w:tab w:val="num" w:pos="2160"/>
        </w:tabs>
        <w:ind w:left="2160" w:hanging="360"/>
      </w:pPr>
      <w:rPr>
        <w:rFonts w:ascii="Wingdings 2" w:hAnsi="Wingdings 2" w:hint="default"/>
      </w:rPr>
    </w:lvl>
    <w:lvl w:ilvl="3" w:tplc="43A81118" w:tentative="1">
      <w:start w:val="1"/>
      <w:numFmt w:val="bullet"/>
      <w:lvlText w:val=""/>
      <w:lvlJc w:val="left"/>
      <w:pPr>
        <w:tabs>
          <w:tab w:val="num" w:pos="2880"/>
        </w:tabs>
        <w:ind w:left="2880" w:hanging="360"/>
      </w:pPr>
      <w:rPr>
        <w:rFonts w:ascii="Wingdings 2" w:hAnsi="Wingdings 2" w:hint="default"/>
      </w:rPr>
    </w:lvl>
    <w:lvl w:ilvl="4" w:tplc="453C5A92" w:tentative="1">
      <w:start w:val="1"/>
      <w:numFmt w:val="bullet"/>
      <w:lvlText w:val=""/>
      <w:lvlJc w:val="left"/>
      <w:pPr>
        <w:tabs>
          <w:tab w:val="num" w:pos="3600"/>
        </w:tabs>
        <w:ind w:left="3600" w:hanging="360"/>
      </w:pPr>
      <w:rPr>
        <w:rFonts w:ascii="Wingdings 2" w:hAnsi="Wingdings 2" w:hint="default"/>
      </w:rPr>
    </w:lvl>
    <w:lvl w:ilvl="5" w:tplc="EB74482C" w:tentative="1">
      <w:start w:val="1"/>
      <w:numFmt w:val="bullet"/>
      <w:lvlText w:val=""/>
      <w:lvlJc w:val="left"/>
      <w:pPr>
        <w:tabs>
          <w:tab w:val="num" w:pos="4320"/>
        </w:tabs>
        <w:ind w:left="4320" w:hanging="360"/>
      </w:pPr>
      <w:rPr>
        <w:rFonts w:ascii="Wingdings 2" w:hAnsi="Wingdings 2" w:hint="default"/>
      </w:rPr>
    </w:lvl>
    <w:lvl w:ilvl="6" w:tplc="1A34C698" w:tentative="1">
      <w:start w:val="1"/>
      <w:numFmt w:val="bullet"/>
      <w:lvlText w:val=""/>
      <w:lvlJc w:val="left"/>
      <w:pPr>
        <w:tabs>
          <w:tab w:val="num" w:pos="5040"/>
        </w:tabs>
        <w:ind w:left="5040" w:hanging="360"/>
      </w:pPr>
      <w:rPr>
        <w:rFonts w:ascii="Wingdings 2" w:hAnsi="Wingdings 2" w:hint="default"/>
      </w:rPr>
    </w:lvl>
    <w:lvl w:ilvl="7" w:tplc="5B008648" w:tentative="1">
      <w:start w:val="1"/>
      <w:numFmt w:val="bullet"/>
      <w:lvlText w:val=""/>
      <w:lvlJc w:val="left"/>
      <w:pPr>
        <w:tabs>
          <w:tab w:val="num" w:pos="5760"/>
        </w:tabs>
        <w:ind w:left="5760" w:hanging="360"/>
      </w:pPr>
      <w:rPr>
        <w:rFonts w:ascii="Wingdings 2" w:hAnsi="Wingdings 2" w:hint="default"/>
      </w:rPr>
    </w:lvl>
    <w:lvl w:ilvl="8" w:tplc="EB20DE82"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3977441"/>
    <w:multiLevelType w:val="hybridMultilevel"/>
    <w:tmpl w:val="58F404A2"/>
    <w:lvl w:ilvl="0" w:tplc="1F9C2B06">
      <w:start w:val="1"/>
      <w:numFmt w:val="bullet"/>
      <w:lvlText w:val=""/>
      <w:lvlJc w:val="left"/>
      <w:pPr>
        <w:tabs>
          <w:tab w:val="num" w:pos="720"/>
        </w:tabs>
        <w:ind w:left="720" w:hanging="360"/>
      </w:pPr>
      <w:rPr>
        <w:rFonts w:ascii="Wingdings 2" w:hAnsi="Wingdings 2" w:hint="default"/>
      </w:rPr>
    </w:lvl>
    <w:lvl w:ilvl="1" w:tplc="093A5A0C" w:tentative="1">
      <w:start w:val="1"/>
      <w:numFmt w:val="bullet"/>
      <w:lvlText w:val=""/>
      <w:lvlJc w:val="left"/>
      <w:pPr>
        <w:tabs>
          <w:tab w:val="num" w:pos="1440"/>
        </w:tabs>
        <w:ind w:left="1440" w:hanging="360"/>
      </w:pPr>
      <w:rPr>
        <w:rFonts w:ascii="Wingdings 2" w:hAnsi="Wingdings 2" w:hint="default"/>
      </w:rPr>
    </w:lvl>
    <w:lvl w:ilvl="2" w:tplc="E09C6606" w:tentative="1">
      <w:start w:val="1"/>
      <w:numFmt w:val="bullet"/>
      <w:lvlText w:val=""/>
      <w:lvlJc w:val="left"/>
      <w:pPr>
        <w:tabs>
          <w:tab w:val="num" w:pos="2160"/>
        </w:tabs>
        <w:ind w:left="2160" w:hanging="360"/>
      </w:pPr>
      <w:rPr>
        <w:rFonts w:ascii="Wingdings 2" w:hAnsi="Wingdings 2" w:hint="default"/>
      </w:rPr>
    </w:lvl>
    <w:lvl w:ilvl="3" w:tplc="51746010" w:tentative="1">
      <w:start w:val="1"/>
      <w:numFmt w:val="bullet"/>
      <w:lvlText w:val=""/>
      <w:lvlJc w:val="left"/>
      <w:pPr>
        <w:tabs>
          <w:tab w:val="num" w:pos="2880"/>
        </w:tabs>
        <w:ind w:left="2880" w:hanging="360"/>
      </w:pPr>
      <w:rPr>
        <w:rFonts w:ascii="Wingdings 2" w:hAnsi="Wingdings 2" w:hint="default"/>
      </w:rPr>
    </w:lvl>
    <w:lvl w:ilvl="4" w:tplc="C332F9A2" w:tentative="1">
      <w:start w:val="1"/>
      <w:numFmt w:val="bullet"/>
      <w:lvlText w:val=""/>
      <w:lvlJc w:val="left"/>
      <w:pPr>
        <w:tabs>
          <w:tab w:val="num" w:pos="3600"/>
        </w:tabs>
        <w:ind w:left="3600" w:hanging="360"/>
      </w:pPr>
      <w:rPr>
        <w:rFonts w:ascii="Wingdings 2" w:hAnsi="Wingdings 2" w:hint="default"/>
      </w:rPr>
    </w:lvl>
    <w:lvl w:ilvl="5" w:tplc="5D422B0C" w:tentative="1">
      <w:start w:val="1"/>
      <w:numFmt w:val="bullet"/>
      <w:lvlText w:val=""/>
      <w:lvlJc w:val="left"/>
      <w:pPr>
        <w:tabs>
          <w:tab w:val="num" w:pos="4320"/>
        </w:tabs>
        <w:ind w:left="4320" w:hanging="360"/>
      </w:pPr>
      <w:rPr>
        <w:rFonts w:ascii="Wingdings 2" w:hAnsi="Wingdings 2" w:hint="default"/>
      </w:rPr>
    </w:lvl>
    <w:lvl w:ilvl="6" w:tplc="C3DC75CE" w:tentative="1">
      <w:start w:val="1"/>
      <w:numFmt w:val="bullet"/>
      <w:lvlText w:val=""/>
      <w:lvlJc w:val="left"/>
      <w:pPr>
        <w:tabs>
          <w:tab w:val="num" w:pos="5040"/>
        </w:tabs>
        <w:ind w:left="5040" w:hanging="360"/>
      </w:pPr>
      <w:rPr>
        <w:rFonts w:ascii="Wingdings 2" w:hAnsi="Wingdings 2" w:hint="default"/>
      </w:rPr>
    </w:lvl>
    <w:lvl w:ilvl="7" w:tplc="C74AFA80" w:tentative="1">
      <w:start w:val="1"/>
      <w:numFmt w:val="bullet"/>
      <w:lvlText w:val=""/>
      <w:lvlJc w:val="left"/>
      <w:pPr>
        <w:tabs>
          <w:tab w:val="num" w:pos="5760"/>
        </w:tabs>
        <w:ind w:left="5760" w:hanging="360"/>
      </w:pPr>
      <w:rPr>
        <w:rFonts w:ascii="Wingdings 2" w:hAnsi="Wingdings 2" w:hint="default"/>
      </w:rPr>
    </w:lvl>
    <w:lvl w:ilvl="8" w:tplc="8F88C8C0"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B131267"/>
    <w:multiLevelType w:val="hybridMultilevel"/>
    <w:tmpl w:val="44B89B56"/>
    <w:lvl w:ilvl="0" w:tplc="DE760E12">
      <w:start w:val="1"/>
      <w:numFmt w:val="bullet"/>
      <w:lvlText w:val=""/>
      <w:lvlJc w:val="left"/>
      <w:pPr>
        <w:tabs>
          <w:tab w:val="num" w:pos="720"/>
        </w:tabs>
        <w:ind w:left="720" w:hanging="360"/>
      </w:pPr>
      <w:rPr>
        <w:rFonts w:ascii="Wingdings 2" w:hAnsi="Wingdings 2" w:hint="default"/>
      </w:rPr>
    </w:lvl>
    <w:lvl w:ilvl="1" w:tplc="18C23814" w:tentative="1">
      <w:start w:val="1"/>
      <w:numFmt w:val="bullet"/>
      <w:lvlText w:val=""/>
      <w:lvlJc w:val="left"/>
      <w:pPr>
        <w:tabs>
          <w:tab w:val="num" w:pos="1440"/>
        </w:tabs>
        <w:ind w:left="1440" w:hanging="360"/>
      </w:pPr>
      <w:rPr>
        <w:rFonts w:ascii="Wingdings 2" w:hAnsi="Wingdings 2" w:hint="default"/>
      </w:rPr>
    </w:lvl>
    <w:lvl w:ilvl="2" w:tplc="CF7C86AE" w:tentative="1">
      <w:start w:val="1"/>
      <w:numFmt w:val="bullet"/>
      <w:lvlText w:val=""/>
      <w:lvlJc w:val="left"/>
      <w:pPr>
        <w:tabs>
          <w:tab w:val="num" w:pos="2160"/>
        </w:tabs>
        <w:ind w:left="2160" w:hanging="360"/>
      </w:pPr>
      <w:rPr>
        <w:rFonts w:ascii="Wingdings 2" w:hAnsi="Wingdings 2" w:hint="default"/>
      </w:rPr>
    </w:lvl>
    <w:lvl w:ilvl="3" w:tplc="2C7C0456" w:tentative="1">
      <w:start w:val="1"/>
      <w:numFmt w:val="bullet"/>
      <w:lvlText w:val=""/>
      <w:lvlJc w:val="left"/>
      <w:pPr>
        <w:tabs>
          <w:tab w:val="num" w:pos="2880"/>
        </w:tabs>
        <w:ind w:left="2880" w:hanging="360"/>
      </w:pPr>
      <w:rPr>
        <w:rFonts w:ascii="Wingdings 2" w:hAnsi="Wingdings 2" w:hint="default"/>
      </w:rPr>
    </w:lvl>
    <w:lvl w:ilvl="4" w:tplc="95F43834" w:tentative="1">
      <w:start w:val="1"/>
      <w:numFmt w:val="bullet"/>
      <w:lvlText w:val=""/>
      <w:lvlJc w:val="left"/>
      <w:pPr>
        <w:tabs>
          <w:tab w:val="num" w:pos="3600"/>
        </w:tabs>
        <w:ind w:left="3600" w:hanging="360"/>
      </w:pPr>
      <w:rPr>
        <w:rFonts w:ascii="Wingdings 2" w:hAnsi="Wingdings 2" w:hint="default"/>
      </w:rPr>
    </w:lvl>
    <w:lvl w:ilvl="5" w:tplc="7FCE925E" w:tentative="1">
      <w:start w:val="1"/>
      <w:numFmt w:val="bullet"/>
      <w:lvlText w:val=""/>
      <w:lvlJc w:val="left"/>
      <w:pPr>
        <w:tabs>
          <w:tab w:val="num" w:pos="4320"/>
        </w:tabs>
        <w:ind w:left="4320" w:hanging="360"/>
      </w:pPr>
      <w:rPr>
        <w:rFonts w:ascii="Wingdings 2" w:hAnsi="Wingdings 2" w:hint="default"/>
      </w:rPr>
    </w:lvl>
    <w:lvl w:ilvl="6" w:tplc="9FCE1642" w:tentative="1">
      <w:start w:val="1"/>
      <w:numFmt w:val="bullet"/>
      <w:lvlText w:val=""/>
      <w:lvlJc w:val="left"/>
      <w:pPr>
        <w:tabs>
          <w:tab w:val="num" w:pos="5040"/>
        </w:tabs>
        <w:ind w:left="5040" w:hanging="360"/>
      </w:pPr>
      <w:rPr>
        <w:rFonts w:ascii="Wingdings 2" w:hAnsi="Wingdings 2" w:hint="default"/>
      </w:rPr>
    </w:lvl>
    <w:lvl w:ilvl="7" w:tplc="58843AFE" w:tentative="1">
      <w:start w:val="1"/>
      <w:numFmt w:val="bullet"/>
      <w:lvlText w:val=""/>
      <w:lvlJc w:val="left"/>
      <w:pPr>
        <w:tabs>
          <w:tab w:val="num" w:pos="5760"/>
        </w:tabs>
        <w:ind w:left="5760" w:hanging="360"/>
      </w:pPr>
      <w:rPr>
        <w:rFonts w:ascii="Wingdings 2" w:hAnsi="Wingdings 2" w:hint="default"/>
      </w:rPr>
    </w:lvl>
    <w:lvl w:ilvl="8" w:tplc="8C5C2910"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2"/>
  </w:num>
  <w:num w:numId="11">
    <w:abstractNumId w:val="10"/>
  </w:num>
  <w:num w:numId="12">
    <w:abstractNumId w:val="34"/>
  </w:num>
  <w:num w:numId="13">
    <w:abstractNumId w:val="41"/>
  </w:num>
  <w:num w:numId="14">
    <w:abstractNumId w:val="45"/>
  </w:num>
  <w:num w:numId="15">
    <w:abstractNumId w:val="36"/>
  </w:num>
  <w:num w:numId="16">
    <w:abstractNumId w:val="33"/>
  </w:num>
  <w:num w:numId="17">
    <w:abstractNumId w:val="8"/>
  </w:num>
  <w:num w:numId="18">
    <w:abstractNumId w:val="35"/>
  </w:num>
  <w:num w:numId="19">
    <w:abstractNumId w:val="24"/>
  </w:num>
  <w:num w:numId="20">
    <w:abstractNumId w:val="7"/>
  </w:num>
  <w:num w:numId="21">
    <w:abstractNumId w:val="46"/>
  </w:num>
  <w:num w:numId="22">
    <w:abstractNumId w:val="18"/>
  </w:num>
  <w:num w:numId="23">
    <w:abstractNumId w:val="43"/>
  </w:num>
  <w:num w:numId="24">
    <w:abstractNumId w:val="44"/>
  </w:num>
  <w:num w:numId="25">
    <w:abstractNumId w:val="31"/>
  </w:num>
  <w:num w:numId="26">
    <w:abstractNumId w:val="17"/>
  </w:num>
  <w:num w:numId="27">
    <w:abstractNumId w:val="4"/>
  </w:num>
  <w:num w:numId="28">
    <w:abstractNumId w:val="11"/>
  </w:num>
  <w:num w:numId="29">
    <w:abstractNumId w:val="32"/>
  </w:num>
  <w:num w:numId="30">
    <w:abstractNumId w:val="39"/>
  </w:num>
  <w:num w:numId="31">
    <w:abstractNumId w:val="29"/>
  </w:num>
  <w:num w:numId="32">
    <w:abstractNumId w:val="3"/>
  </w:num>
  <w:num w:numId="33">
    <w:abstractNumId w:val="27"/>
  </w:num>
  <w:num w:numId="34">
    <w:abstractNumId w:val="21"/>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3"/>
  </w:num>
  <w:num w:numId="42">
    <w:abstractNumId w:val="26"/>
  </w:num>
  <w:num w:numId="43">
    <w:abstractNumId w:val="37"/>
  </w:num>
  <w:num w:numId="44">
    <w:abstractNumId w:val="0"/>
  </w:num>
  <w:num w:numId="45">
    <w:abstractNumId w:val="22"/>
  </w:num>
  <w:num w:numId="46">
    <w:abstractNumId w:val="42"/>
  </w:num>
  <w:num w:numId="47">
    <w:abstractNumId w:val="2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6666C"/>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5F7988"/>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2BB8"/>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3C2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4543"/>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8573225">
      <w:bodyDiv w:val="1"/>
      <w:marLeft w:val="0"/>
      <w:marRight w:val="0"/>
      <w:marTop w:val="0"/>
      <w:marBottom w:val="0"/>
      <w:divBdr>
        <w:top w:val="none" w:sz="0" w:space="0" w:color="auto"/>
        <w:left w:val="none" w:sz="0" w:space="0" w:color="auto"/>
        <w:bottom w:val="none" w:sz="0" w:space="0" w:color="auto"/>
        <w:right w:val="none" w:sz="0" w:space="0" w:color="auto"/>
      </w:divBdr>
      <w:divsChild>
        <w:div w:id="1910847819">
          <w:marLeft w:val="576"/>
          <w:marRight w:val="0"/>
          <w:marTop w:val="120"/>
          <w:marBottom w:val="0"/>
          <w:divBdr>
            <w:top w:val="none" w:sz="0" w:space="0" w:color="auto"/>
            <w:left w:val="none" w:sz="0" w:space="0" w:color="auto"/>
            <w:bottom w:val="none" w:sz="0" w:space="0" w:color="auto"/>
            <w:right w:val="none" w:sz="0" w:space="0" w:color="auto"/>
          </w:divBdr>
        </w:div>
        <w:div w:id="422848587">
          <w:marLeft w:val="576"/>
          <w:marRight w:val="0"/>
          <w:marTop w:val="120"/>
          <w:marBottom w:val="0"/>
          <w:divBdr>
            <w:top w:val="none" w:sz="0" w:space="0" w:color="auto"/>
            <w:left w:val="none" w:sz="0" w:space="0" w:color="auto"/>
            <w:bottom w:val="none" w:sz="0" w:space="0" w:color="auto"/>
            <w:right w:val="none" w:sz="0" w:space="0" w:color="auto"/>
          </w:divBdr>
        </w:div>
        <w:div w:id="1286543735">
          <w:marLeft w:val="576"/>
          <w:marRight w:val="0"/>
          <w:marTop w:val="120"/>
          <w:marBottom w:val="0"/>
          <w:divBdr>
            <w:top w:val="none" w:sz="0" w:space="0" w:color="auto"/>
            <w:left w:val="none" w:sz="0" w:space="0" w:color="auto"/>
            <w:bottom w:val="none" w:sz="0" w:space="0" w:color="auto"/>
            <w:right w:val="none" w:sz="0" w:space="0" w:color="auto"/>
          </w:divBdr>
        </w:div>
        <w:div w:id="1912960929">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9333861">
      <w:bodyDiv w:val="1"/>
      <w:marLeft w:val="0"/>
      <w:marRight w:val="0"/>
      <w:marTop w:val="0"/>
      <w:marBottom w:val="0"/>
      <w:divBdr>
        <w:top w:val="none" w:sz="0" w:space="0" w:color="auto"/>
        <w:left w:val="none" w:sz="0" w:space="0" w:color="auto"/>
        <w:bottom w:val="none" w:sz="0" w:space="0" w:color="auto"/>
        <w:right w:val="none" w:sz="0" w:space="0" w:color="auto"/>
      </w:divBdr>
      <w:divsChild>
        <w:div w:id="1873302690">
          <w:marLeft w:val="576"/>
          <w:marRight w:val="0"/>
          <w:marTop w:val="120"/>
          <w:marBottom w:val="0"/>
          <w:divBdr>
            <w:top w:val="none" w:sz="0" w:space="0" w:color="auto"/>
            <w:left w:val="none" w:sz="0" w:space="0" w:color="auto"/>
            <w:bottom w:val="none" w:sz="0" w:space="0" w:color="auto"/>
            <w:right w:val="none" w:sz="0" w:space="0" w:color="auto"/>
          </w:divBdr>
        </w:div>
        <w:div w:id="1532036872">
          <w:marLeft w:val="576"/>
          <w:marRight w:val="0"/>
          <w:marTop w:val="120"/>
          <w:marBottom w:val="0"/>
          <w:divBdr>
            <w:top w:val="none" w:sz="0" w:space="0" w:color="auto"/>
            <w:left w:val="none" w:sz="0" w:space="0" w:color="auto"/>
            <w:bottom w:val="none" w:sz="0" w:space="0" w:color="auto"/>
            <w:right w:val="none" w:sz="0" w:space="0" w:color="auto"/>
          </w:divBdr>
        </w:div>
        <w:div w:id="1151797499">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1057527">
      <w:bodyDiv w:val="1"/>
      <w:marLeft w:val="0"/>
      <w:marRight w:val="0"/>
      <w:marTop w:val="0"/>
      <w:marBottom w:val="0"/>
      <w:divBdr>
        <w:top w:val="none" w:sz="0" w:space="0" w:color="auto"/>
        <w:left w:val="none" w:sz="0" w:space="0" w:color="auto"/>
        <w:bottom w:val="none" w:sz="0" w:space="0" w:color="auto"/>
        <w:right w:val="none" w:sz="0" w:space="0" w:color="auto"/>
      </w:divBdr>
    </w:div>
    <w:div w:id="662659520">
      <w:bodyDiv w:val="1"/>
      <w:marLeft w:val="0"/>
      <w:marRight w:val="0"/>
      <w:marTop w:val="0"/>
      <w:marBottom w:val="0"/>
      <w:divBdr>
        <w:top w:val="none" w:sz="0" w:space="0" w:color="auto"/>
        <w:left w:val="none" w:sz="0" w:space="0" w:color="auto"/>
        <w:bottom w:val="none" w:sz="0" w:space="0" w:color="auto"/>
        <w:right w:val="none" w:sz="0" w:space="0" w:color="auto"/>
      </w:divBdr>
      <w:divsChild>
        <w:div w:id="73208659">
          <w:marLeft w:val="576"/>
          <w:marRight w:val="0"/>
          <w:marTop w:val="120"/>
          <w:marBottom w:val="0"/>
          <w:divBdr>
            <w:top w:val="none" w:sz="0" w:space="0" w:color="auto"/>
            <w:left w:val="none" w:sz="0" w:space="0" w:color="auto"/>
            <w:bottom w:val="none" w:sz="0" w:space="0" w:color="auto"/>
            <w:right w:val="none" w:sz="0" w:space="0" w:color="auto"/>
          </w:divBdr>
        </w:div>
        <w:div w:id="1556310619">
          <w:marLeft w:val="576"/>
          <w:marRight w:val="0"/>
          <w:marTop w:val="120"/>
          <w:marBottom w:val="0"/>
          <w:divBdr>
            <w:top w:val="none" w:sz="0" w:space="0" w:color="auto"/>
            <w:left w:val="none" w:sz="0" w:space="0" w:color="auto"/>
            <w:bottom w:val="none" w:sz="0" w:space="0" w:color="auto"/>
            <w:right w:val="none" w:sz="0" w:space="0" w:color="auto"/>
          </w:divBdr>
        </w:div>
        <w:div w:id="1198201255">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2244469">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5364044">
      <w:bodyDiv w:val="1"/>
      <w:marLeft w:val="0"/>
      <w:marRight w:val="0"/>
      <w:marTop w:val="0"/>
      <w:marBottom w:val="0"/>
      <w:divBdr>
        <w:top w:val="none" w:sz="0" w:space="0" w:color="auto"/>
        <w:left w:val="none" w:sz="0" w:space="0" w:color="auto"/>
        <w:bottom w:val="none" w:sz="0" w:space="0" w:color="auto"/>
        <w:right w:val="none" w:sz="0" w:space="0" w:color="auto"/>
      </w:divBdr>
      <w:divsChild>
        <w:div w:id="1936357457">
          <w:marLeft w:val="576"/>
          <w:marRight w:val="0"/>
          <w:marTop w:val="120"/>
          <w:marBottom w:val="0"/>
          <w:divBdr>
            <w:top w:val="none" w:sz="0" w:space="0" w:color="auto"/>
            <w:left w:val="none" w:sz="0" w:space="0" w:color="auto"/>
            <w:bottom w:val="none" w:sz="0" w:space="0" w:color="auto"/>
            <w:right w:val="none" w:sz="0" w:space="0" w:color="auto"/>
          </w:divBdr>
        </w:div>
        <w:div w:id="1974480062">
          <w:marLeft w:val="576"/>
          <w:marRight w:val="0"/>
          <w:marTop w:val="120"/>
          <w:marBottom w:val="0"/>
          <w:divBdr>
            <w:top w:val="none" w:sz="0" w:space="0" w:color="auto"/>
            <w:left w:val="none" w:sz="0" w:space="0" w:color="auto"/>
            <w:bottom w:val="none" w:sz="0" w:space="0" w:color="auto"/>
            <w:right w:val="none" w:sz="0" w:space="0" w:color="auto"/>
          </w:divBdr>
        </w:div>
        <w:div w:id="87623723">
          <w:marLeft w:val="576"/>
          <w:marRight w:val="0"/>
          <w:marTop w:val="120"/>
          <w:marBottom w:val="0"/>
          <w:divBdr>
            <w:top w:val="none" w:sz="0" w:space="0" w:color="auto"/>
            <w:left w:val="none" w:sz="0" w:space="0" w:color="auto"/>
            <w:bottom w:val="none" w:sz="0" w:space="0" w:color="auto"/>
            <w:right w:val="none" w:sz="0" w:space="0" w:color="auto"/>
          </w:divBdr>
        </w:div>
        <w:div w:id="1728645412">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2746586">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49065334">
      <w:bodyDiv w:val="1"/>
      <w:marLeft w:val="0"/>
      <w:marRight w:val="0"/>
      <w:marTop w:val="0"/>
      <w:marBottom w:val="0"/>
      <w:divBdr>
        <w:top w:val="none" w:sz="0" w:space="0" w:color="auto"/>
        <w:left w:val="none" w:sz="0" w:space="0" w:color="auto"/>
        <w:bottom w:val="none" w:sz="0" w:space="0" w:color="auto"/>
        <w:right w:val="none" w:sz="0" w:space="0" w:color="auto"/>
      </w:divBdr>
      <w:divsChild>
        <w:div w:id="1384326455">
          <w:marLeft w:val="576"/>
          <w:marRight w:val="0"/>
          <w:marTop w:val="120"/>
          <w:marBottom w:val="0"/>
          <w:divBdr>
            <w:top w:val="none" w:sz="0" w:space="0" w:color="auto"/>
            <w:left w:val="none" w:sz="0" w:space="0" w:color="auto"/>
            <w:bottom w:val="none" w:sz="0" w:space="0" w:color="auto"/>
            <w:right w:val="none" w:sz="0" w:space="0" w:color="auto"/>
          </w:divBdr>
        </w:div>
        <w:div w:id="1120994947">
          <w:marLeft w:val="576"/>
          <w:marRight w:val="0"/>
          <w:marTop w:val="120"/>
          <w:marBottom w:val="0"/>
          <w:divBdr>
            <w:top w:val="none" w:sz="0" w:space="0" w:color="auto"/>
            <w:left w:val="none" w:sz="0" w:space="0" w:color="auto"/>
            <w:bottom w:val="none" w:sz="0" w:space="0" w:color="auto"/>
            <w:right w:val="none" w:sz="0" w:space="0" w:color="auto"/>
          </w:divBdr>
        </w:div>
        <w:div w:id="1777753595">
          <w:marLeft w:val="576"/>
          <w:marRight w:val="0"/>
          <w:marTop w:val="120"/>
          <w:marBottom w:val="0"/>
          <w:divBdr>
            <w:top w:val="none" w:sz="0" w:space="0" w:color="auto"/>
            <w:left w:val="none" w:sz="0" w:space="0" w:color="auto"/>
            <w:bottom w:val="none" w:sz="0" w:space="0" w:color="auto"/>
            <w:right w:val="none" w:sz="0" w:space="0" w:color="auto"/>
          </w:divBdr>
        </w:div>
        <w:div w:id="443041898">
          <w:marLeft w:val="576"/>
          <w:marRight w:val="0"/>
          <w:marTop w:val="120"/>
          <w:marBottom w:val="0"/>
          <w:divBdr>
            <w:top w:val="none" w:sz="0" w:space="0" w:color="auto"/>
            <w:left w:val="none" w:sz="0" w:space="0" w:color="auto"/>
            <w:bottom w:val="none" w:sz="0" w:space="0" w:color="auto"/>
            <w:right w:val="none" w:sz="0" w:space="0" w:color="auto"/>
          </w:divBdr>
        </w:div>
        <w:div w:id="619334947">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8728926">
      <w:bodyDiv w:val="1"/>
      <w:marLeft w:val="0"/>
      <w:marRight w:val="0"/>
      <w:marTop w:val="0"/>
      <w:marBottom w:val="0"/>
      <w:divBdr>
        <w:top w:val="none" w:sz="0" w:space="0" w:color="auto"/>
        <w:left w:val="none" w:sz="0" w:space="0" w:color="auto"/>
        <w:bottom w:val="none" w:sz="0" w:space="0" w:color="auto"/>
        <w:right w:val="none" w:sz="0" w:space="0" w:color="auto"/>
      </w:divBdr>
      <w:divsChild>
        <w:div w:id="1410693684">
          <w:marLeft w:val="576"/>
          <w:marRight w:val="0"/>
          <w:marTop w:val="120"/>
          <w:marBottom w:val="0"/>
          <w:divBdr>
            <w:top w:val="none" w:sz="0" w:space="0" w:color="auto"/>
            <w:left w:val="none" w:sz="0" w:space="0" w:color="auto"/>
            <w:bottom w:val="none" w:sz="0" w:space="0" w:color="auto"/>
            <w:right w:val="none" w:sz="0" w:space="0" w:color="auto"/>
          </w:divBdr>
        </w:div>
        <w:div w:id="1151869091">
          <w:marLeft w:val="576"/>
          <w:marRight w:val="0"/>
          <w:marTop w:val="120"/>
          <w:marBottom w:val="0"/>
          <w:divBdr>
            <w:top w:val="none" w:sz="0" w:space="0" w:color="auto"/>
            <w:left w:val="none" w:sz="0" w:space="0" w:color="auto"/>
            <w:bottom w:val="none" w:sz="0" w:space="0" w:color="auto"/>
            <w:right w:val="none" w:sz="0" w:space="0" w:color="auto"/>
          </w:divBdr>
        </w:div>
        <w:div w:id="662049543">
          <w:marLeft w:val="576"/>
          <w:marRight w:val="0"/>
          <w:marTop w:val="120"/>
          <w:marBottom w:val="0"/>
          <w:divBdr>
            <w:top w:val="none" w:sz="0" w:space="0" w:color="auto"/>
            <w:left w:val="none" w:sz="0" w:space="0" w:color="auto"/>
            <w:bottom w:val="none" w:sz="0" w:space="0" w:color="auto"/>
            <w:right w:val="none" w:sz="0" w:space="0" w:color="auto"/>
          </w:divBdr>
        </w:div>
        <w:div w:id="2030791228">
          <w:marLeft w:val="576"/>
          <w:marRight w:val="0"/>
          <w:marTop w:val="120"/>
          <w:marBottom w:val="0"/>
          <w:divBdr>
            <w:top w:val="none" w:sz="0" w:space="0" w:color="auto"/>
            <w:left w:val="none" w:sz="0" w:space="0" w:color="auto"/>
            <w:bottom w:val="none" w:sz="0" w:space="0" w:color="auto"/>
            <w:right w:val="none" w:sz="0" w:space="0" w:color="auto"/>
          </w:divBdr>
        </w:div>
        <w:div w:id="422147877">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3583</TotalTime>
  <Pages>14</Pages>
  <Words>1875</Words>
  <Characters>10691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873</cp:revision>
  <dcterms:created xsi:type="dcterms:W3CDTF">2021-01-06T11:34:00Z</dcterms:created>
  <dcterms:modified xsi:type="dcterms:W3CDTF">2021-05-22T15:18:00Z</dcterms:modified>
</cp:coreProperties>
</file>