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94B7F" w:rsidRDefault="00294B7F" w:rsidP="00294B7F">
      <w:pPr>
        <w:spacing w:line="360" w:lineRule="auto"/>
        <w:jc w:val="center"/>
        <w:rPr>
          <w:rFonts w:ascii="Times New Roman" w:hAnsi="Times New Roman" w:cs="Times New Roman"/>
          <w:b/>
          <w:sz w:val="48"/>
          <w:szCs w:val="48"/>
        </w:rPr>
      </w:pPr>
      <w:r w:rsidRPr="00294B7F">
        <w:rPr>
          <w:rFonts w:ascii="Times New Roman" w:hAnsi="Times New Roman" w:cs="Times New Roman"/>
          <w:b/>
          <w:sz w:val="48"/>
          <w:szCs w:val="48"/>
        </w:rPr>
        <w:t>Modelling of Supercapacitor Banks for Power System Dynamics Studies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94B7F" w:rsidRDefault="00294B7F" w:rsidP="00E53AA4">
      <w:pPr>
        <w:spacing w:line="360" w:lineRule="auto"/>
        <w:jc w:val="both"/>
        <w:rPr>
          <w:rFonts w:ascii="Times New Roman" w:hAnsi="Times New Roman" w:cs="Times New Roman"/>
          <w:b/>
          <w:sz w:val="44"/>
          <w:szCs w:val="44"/>
        </w:rPr>
      </w:pPr>
    </w:p>
    <w:p w:rsidR="00294B7F" w:rsidRDefault="00294B7F" w:rsidP="00E53AA4">
      <w:pPr>
        <w:spacing w:line="360" w:lineRule="auto"/>
        <w:jc w:val="both"/>
        <w:rPr>
          <w:rFonts w:ascii="Times New Roman" w:hAnsi="Times New Roman" w:cs="Times New Roman"/>
          <w:b/>
          <w:sz w:val="44"/>
          <w:szCs w:val="44"/>
        </w:rPr>
      </w:pPr>
    </w:p>
    <w:p w:rsidR="00294B7F" w:rsidRDefault="00294B7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94B7F" w:rsidRPr="00294B7F" w:rsidRDefault="00294B7F" w:rsidP="00294B7F">
      <w:pPr>
        <w:spacing w:line="360" w:lineRule="auto"/>
        <w:jc w:val="both"/>
        <w:rPr>
          <w:rFonts w:ascii="Times New Roman" w:hAnsi="Times New Roman" w:cs="Times New Roman"/>
          <w:bCs/>
          <w:sz w:val="32"/>
          <w:szCs w:val="32"/>
          <w:lang w:val="en-IN"/>
        </w:rPr>
      </w:pPr>
      <w:r w:rsidRPr="00294B7F">
        <w:rPr>
          <w:rFonts w:ascii="Times New Roman" w:hAnsi="Times New Roman" w:cs="Times New Roman"/>
          <w:bCs/>
          <w:sz w:val="32"/>
          <w:szCs w:val="32"/>
          <w:lang w:val="en-IN"/>
        </w:rPr>
        <w:t xml:space="preserve">    The paper presents accurate and simple dynamic model of a supercapacitor bank system for power system dynamics studies. The proposed model is derived from a detailed RC circuit representation. Furthermore, a complete control system of the supercapacitor bank is also presented. The proposed model is easy to integrate in any power system simulation software and consists of only up to four standard datasheet parameters. The performance of the proposed model in grid frequency control and low-voltage ride through is illustrated on IEEE 14-bus test system in DIgSILENT PowerFactory. It is shown that in case of transient stability simulations the ideal (simplified) model of the supercapacitor can be used while in case of frequency control the ideal representation may not always be appropriate.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94B7F" w:rsidRDefault="00294B7F"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94B7F" w:rsidRDefault="00AA15F5" w:rsidP="00294B7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94B7F">
        <w:rPr>
          <w:rFonts w:ascii="Times New Roman" w:hAnsi="Times New Roman" w:cs="Times New Roman"/>
          <w:sz w:val="32"/>
          <w:szCs w:val="32"/>
          <w:lang w:val="en-IN"/>
        </w:rPr>
        <w:t>This paper is unique because it focusses on the</w:t>
      </w:r>
      <w:r w:rsidRPr="00294B7F">
        <w:rPr>
          <w:rFonts w:ascii="Times New Roman" w:hAnsi="Times New Roman" w:cs="Times New Roman"/>
          <w:sz w:val="32"/>
          <w:szCs w:val="32"/>
          <w:lang w:val="en-IN"/>
        </w:rPr>
        <w:t xml:space="preserve"> electrical applications and end use models rather than the models that focus on predicting chemical characteristics of the DLCs. Considering these factors, the timeliness and uniqueness of this review cannot be overemphasized. </w:t>
      </w:r>
    </w:p>
    <w:p w:rsidR="00000000" w:rsidRPr="00294B7F" w:rsidRDefault="00AA15F5" w:rsidP="00294B7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94B7F">
        <w:rPr>
          <w:rFonts w:ascii="Times New Roman" w:hAnsi="Times New Roman" w:cs="Times New Roman"/>
          <w:sz w:val="32"/>
          <w:szCs w:val="32"/>
          <w:lang w:val="en-IN"/>
        </w:rPr>
        <w:t xml:space="preserve">The goal of this paper is </w:t>
      </w:r>
      <w:r w:rsidRPr="00294B7F">
        <w:rPr>
          <w:rFonts w:ascii="Times New Roman" w:hAnsi="Times New Roman" w:cs="Times New Roman"/>
          <w:sz w:val="32"/>
          <w:szCs w:val="32"/>
          <w:lang w:val="en-IN"/>
        </w:rPr>
        <w:t>to review the many available electrical models of DLCs for power electronics applications in order to bring to light both their limitations and advantages, as well as the opportunities for further research into the subject of electrical modeling of DLCs.Ad</w:t>
      </w:r>
      <w:r w:rsidRPr="00294B7F">
        <w:rPr>
          <w:rFonts w:ascii="Times New Roman" w:hAnsi="Times New Roman" w:cs="Times New Roman"/>
          <w:sz w:val="32"/>
          <w:szCs w:val="32"/>
          <w:lang w:val="en-IN"/>
        </w:rPr>
        <w:t>ditionally, this paper also seeks to raise awareness regarding the need for more research into the existing electrical models in order to address the limitations of these models, which are highlighted in this paper</w:t>
      </w:r>
      <w:r w:rsidRPr="00294B7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94B7F" w:rsidRDefault="00AA15F5" w:rsidP="00294B7F">
      <w:pPr>
        <w:numPr>
          <w:ilvl w:val="0"/>
          <w:numId w:val="43"/>
        </w:numPr>
        <w:spacing w:line="360" w:lineRule="auto"/>
        <w:jc w:val="both"/>
        <w:rPr>
          <w:rFonts w:ascii="Times New Roman" w:hAnsi="Times New Roman" w:cs="Times New Roman"/>
          <w:bCs/>
          <w:sz w:val="32"/>
          <w:szCs w:val="32"/>
          <w:lang w:val="en-IN"/>
        </w:rPr>
      </w:pPr>
      <w:r w:rsidRPr="00294B7F">
        <w:rPr>
          <w:rFonts w:ascii="Times New Roman" w:hAnsi="Times New Roman" w:cs="Times New Roman"/>
          <w:bCs/>
          <w:sz w:val="32"/>
          <w:szCs w:val="32"/>
          <w:lang w:val="en-IN"/>
        </w:rPr>
        <w:t>The difference from the other control s</w:t>
      </w:r>
      <w:r w:rsidRPr="00294B7F">
        <w:rPr>
          <w:rFonts w:ascii="Times New Roman" w:hAnsi="Times New Roman" w:cs="Times New Roman"/>
          <w:bCs/>
          <w:sz w:val="32"/>
          <w:szCs w:val="32"/>
          <w:lang w:val="en-IN"/>
        </w:rPr>
        <w:t xml:space="preserve">chemes however, is that the voltage measurement is directly used as a measure of energy (State-of-Voltage, SoV) rather than State-of-Charge (SoC) through current integration since the energy of a capacitor is directly proportional to the voltage. </w:t>
      </w:r>
    </w:p>
    <w:p w:rsidR="00000000" w:rsidRPr="00294B7F" w:rsidRDefault="00AA15F5" w:rsidP="00294B7F">
      <w:pPr>
        <w:numPr>
          <w:ilvl w:val="0"/>
          <w:numId w:val="43"/>
        </w:numPr>
        <w:spacing w:line="360" w:lineRule="auto"/>
        <w:jc w:val="both"/>
        <w:rPr>
          <w:rFonts w:ascii="Times New Roman" w:hAnsi="Times New Roman" w:cs="Times New Roman"/>
          <w:bCs/>
          <w:sz w:val="32"/>
          <w:szCs w:val="32"/>
          <w:lang w:val="en-IN"/>
        </w:rPr>
      </w:pPr>
      <w:r w:rsidRPr="00294B7F">
        <w:rPr>
          <w:rFonts w:ascii="Times New Roman" w:hAnsi="Times New Roman" w:cs="Times New Roman"/>
          <w:bCs/>
          <w:sz w:val="32"/>
          <w:szCs w:val="32"/>
          <w:lang w:val="en-IN"/>
        </w:rPr>
        <w:t>Further</w:t>
      </w:r>
      <w:r w:rsidRPr="00294B7F">
        <w:rPr>
          <w:rFonts w:ascii="Times New Roman" w:hAnsi="Times New Roman" w:cs="Times New Roman"/>
          <w:bCs/>
          <w:sz w:val="32"/>
          <w:szCs w:val="32"/>
          <w:lang w:val="en-IN"/>
        </w:rPr>
        <w:t xml:space="preserve">more, capacitors are much more sensitive to applied voltage, which varies significantly more than in batteries. </w:t>
      </w:r>
    </w:p>
    <w:p w:rsidR="00000000" w:rsidRPr="00294B7F" w:rsidRDefault="00AA15F5" w:rsidP="00294B7F">
      <w:pPr>
        <w:numPr>
          <w:ilvl w:val="0"/>
          <w:numId w:val="43"/>
        </w:numPr>
        <w:spacing w:line="360" w:lineRule="auto"/>
        <w:jc w:val="both"/>
        <w:rPr>
          <w:rFonts w:ascii="Times New Roman" w:hAnsi="Times New Roman" w:cs="Times New Roman"/>
          <w:bCs/>
          <w:sz w:val="32"/>
          <w:szCs w:val="32"/>
          <w:lang w:val="en-IN"/>
        </w:rPr>
      </w:pPr>
      <w:r w:rsidRPr="00294B7F">
        <w:rPr>
          <w:rFonts w:ascii="Times New Roman" w:hAnsi="Times New Roman" w:cs="Times New Roman"/>
          <w:bCs/>
          <w:sz w:val="32"/>
          <w:szCs w:val="32"/>
          <w:lang w:val="en-IN"/>
        </w:rPr>
        <w:t xml:space="preserve">Therefore, a special care must be taken not to overcharge the SC since even the voltage which is only 5% above the rated voltage </w:t>
      </w:r>
      <w:r w:rsidRPr="00294B7F">
        <w:rPr>
          <w:rFonts w:ascii="Times New Roman" w:hAnsi="Times New Roman" w:cs="Times New Roman"/>
          <w:bCs/>
          <w:sz w:val="32"/>
          <w:szCs w:val="32"/>
          <w:lang w:val="en-IN"/>
        </w:rPr>
        <w:lastRenderedPageBreak/>
        <w:t>can damage th</w:t>
      </w:r>
      <w:r w:rsidRPr="00294B7F">
        <w:rPr>
          <w:rFonts w:ascii="Times New Roman" w:hAnsi="Times New Roman" w:cs="Times New Roman"/>
          <w:bCs/>
          <w:sz w:val="32"/>
          <w:szCs w:val="32"/>
          <w:lang w:val="en-IN"/>
        </w:rPr>
        <w:t>e cell. Similarly the SC should not overly discharge because of current limitation for constant power.</w:t>
      </w:r>
      <w:r w:rsidRPr="00294B7F">
        <w:rPr>
          <w:rFonts w:ascii="Times New Roman" w:hAnsi="Times New Roman" w:cs="Times New Roman"/>
          <w:bCs/>
          <w:sz w:val="32"/>
          <w:szCs w:val="32"/>
        </w:rPr>
        <w:t xml:space="preserve"> </w:t>
      </w:r>
    </w:p>
    <w:p w:rsidR="000B33B0" w:rsidRPr="00294B7F" w:rsidRDefault="006A300A" w:rsidP="00294B7F">
      <w:pPr>
        <w:spacing w:line="360" w:lineRule="auto"/>
        <w:jc w:val="both"/>
        <w:rPr>
          <w:rFonts w:ascii="Times New Roman" w:eastAsia="Times New Roman" w:hAnsi="Times New Roman" w:cs="Times New Roman"/>
          <w:b/>
          <w:sz w:val="32"/>
          <w:szCs w:val="32"/>
        </w:rPr>
      </w:pPr>
      <w:r w:rsidRPr="00294B7F">
        <w:rPr>
          <w:rFonts w:ascii="Times New Roman" w:hAnsi="Times New Roman" w:cs="Times New Roman"/>
          <w:b/>
          <w:sz w:val="36"/>
          <w:szCs w:val="36"/>
        </w:rPr>
        <w:t xml:space="preserve">2.2. PROPOSED </w:t>
      </w:r>
      <w:r w:rsidR="000B33B0" w:rsidRPr="00294B7F">
        <w:rPr>
          <w:rFonts w:ascii="Times New Roman" w:hAnsi="Times New Roman" w:cs="Times New Roman"/>
          <w:b/>
          <w:sz w:val="36"/>
          <w:szCs w:val="36"/>
        </w:rPr>
        <w:t xml:space="preserve">SYSTEM </w:t>
      </w:r>
    </w:p>
    <w:p w:rsidR="00294B7F" w:rsidRPr="00294B7F" w:rsidRDefault="00294B7F" w:rsidP="00294B7F">
      <w:pPr>
        <w:pStyle w:val="NormalWeb"/>
        <w:numPr>
          <w:ilvl w:val="0"/>
          <w:numId w:val="44"/>
        </w:numPr>
        <w:spacing w:before="0" w:beforeAutospacing="0" w:after="0" w:afterAutospacing="0" w:line="360" w:lineRule="auto"/>
        <w:ind w:left="0" w:firstLine="0"/>
        <w:jc w:val="both"/>
        <w:rPr>
          <w:sz w:val="32"/>
          <w:szCs w:val="32"/>
        </w:rPr>
      </w:pPr>
      <w:r w:rsidRPr="00294B7F">
        <w:rPr>
          <w:sz w:val="32"/>
          <w:szCs w:val="32"/>
        </w:rPr>
        <w:t>This might have been due to the number of rungs on the ladder circuit, since the authors proposed more resistor-capacitor (RC) branches on the ladder circuit to enhance the ability of the ladder circuit model to better predict the characteristics of the DLCs.</w:t>
      </w:r>
    </w:p>
    <w:p w:rsidR="00294B7F" w:rsidRPr="00294B7F" w:rsidRDefault="00294B7F" w:rsidP="00294B7F">
      <w:pPr>
        <w:pStyle w:val="NormalWeb"/>
        <w:numPr>
          <w:ilvl w:val="0"/>
          <w:numId w:val="44"/>
        </w:numPr>
        <w:spacing w:before="0" w:beforeAutospacing="0" w:after="0" w:afterAutospacing="0" w:line="360" w:lineRule="auto"/>
        <w:ind w:left="0" w:firstLine="0"/>
        <w:jc w:val="both"/>
        <w:rPr>
          <w:sz w:val="32"/>
          <w:szCs w:val="32"/>
        </w:rPr>
      </w:pPr>
      <w:r w:rsidRPr="00294B7F">
        <w:rPr>
          <w:sz w:val="32"/>
          <w:szCs w:val="32"/>
        </w:rPr>
        <w:t>Their research is particularly interesting because their method could be used in selecting the best alternative when comparing DLCs of the same capacitance across different manufacturers.</w:t>
      </w:r>
    </w:p>
    <w:p w:rsidR="00BB3207" w:rsidRDefault="00294B7F" w:rsidP="00294B7F">
      <w:pPr>
        <w:pStyle w:val="NormalWeb"/>
        <w:numPr>
          <w:ilvl w:val="0"/>
          <w:numId w:val="44"/>
        </w:numPr>
        <w:spacing w:before="0" w:beforeAutospacing="0" w:after="0" w:afterAutospacing="0" w:line="360" w:lineRule="auto"/>
        <w:ind w:left="0" w:firstLine="0"/>
        <w:jc w:val="both"/>
        <w:rPr>
          <w:sz w:val="32"/>
          <w:szCs w:val="32"/>
        </w:rPr>
      </w:pPr>
      <w:r w:rsidRPr="00294B7F">
        <w:rPr>
          <w:sz w:val="32"/>
          <w:szCs w:val="32"/>
        </w:rPr>
        <w:t>The RC circuit looks quite similar to the ladder circuit model; the circuit parameter identification was also done using AC impedance measurements. It was concluded that the temperature dependency of the equivalent series resistance of the DLC can be expressed using a quadratic function of temperature.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94B7F" w:rsidRDefault="00AA15F5" w:rsidP="00294B7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4B7F">
        <w:rPr>
          <w:rFonts w:ascii="Times New Roman" w:eastAsia="AdvGulliv-R" w:hAnsi="Times New Roman" w:cs="Times New Roman"/>
          <w:bCs/>
          <w:sz w:val="32"/>
          <w:szCs w:val="32"/>
          <w:lang w:val="en-IN"/>
        </w:rPr>
        <w:t>The performance of the ideal model is compared to the performance of the nonlinear model. There are several parameters which may affect the performance of both models: initial cap</w:t>
      </w:r>
      <w:r w:rsidRPr="00294B7F">
        <w:rPr>
          <w:rFonts w:ascii="Times New Roman" w:eastAsia="AdvGulliv-R" w:hAnsi="Times New Roman" w:cs="Times New Roman"/>
          <w:bCs/>
          <w:sz w:val="32"/>
          <w:szCs w:val="32"/>
          <w:lang w:val="en-IN"/>
        </w:rPr>
        <w:t>acitor voltage, ideal capacitor capacitance and how much the SC capacitance varies with voltage (i.e. ratio of capacitance at 0 V to capacitance at rated voltage).</w:t>
      </w:r>
    </w:p>
    <w:p w:rsidR="00000000" w:rsidRPr="00294B7F" w:rsidRDefault="00AA15F5" w:rsidP="00294B7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4B7F">
        <w:rPr>
          <w:rFonts w:ascii="Times New Roman" w:eastAsia="AdvGulliv-R" w:hAnsi="Times New Roman" w:cs="Times New Roman"/>
          <w:bCs/>
          <w:sz w:val="32"/>
          <w:szCs w:val="32"/>
          <w:lang w:val="en-IN"/>
        </w:rPr>
        <w:lastRenderedPageBreak/>
        <w:t>However, the used disturbances were smaller than the size of a fully charged supercapacitor</w:t>
      </w:r>
      <w:r w:rsidRPr="00294B7F">
        <w:rPr>
          <w:rFonts w:ascii="Times New Roman" w:eastAsia="AdvGulliv-R" w:hAnsi="Times New Roman" w:cs="Times New Roman"/>
          <w:bCs/>
          <w:sz w:val="32"/>
          <w:szCs w:val="32"/>
          <w:lang w:val="en-IN"/>
        </w:rPr>
        <w:t xml:space="preserve"> and the time scale was not long enough to observe the differences in time-to-discharge (i.e. when the stored energy is depleted). </w:t>
      </w:r>
    </w:p>
    <w:p w:rsidR="00000000" w:rsidRPr="00294B7F" w:rsidRDefault="00AA15F5" w:rsidP="00294B7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4B7F">
        <w:rPr>
          <w:rFonts w:ascii="Times New Roman" w:eastAsia="AdvGulliv-R" w:hAnsi="Times New Roman" w:cs="Times New Roman"/>
          <w:bCs/>
          <w:sz w:val="32"/>
          <w:szCs w:val="32"/>
          <w:lang w:val="en-IN"/>
        </w:rPr>
        <w:t>As will be shown in this paper, both initial SoC and the size of a disturbance impact the performance of different supercap</w:t>
      </w:r>
      <w:r w:rsidRPr="00294B7F">
        <w:rPr>
          <w:rFonts w:ascii="Times New Roman" w:eastAsia="AdvGulliv-R" w:hAnsi="Times New Roman" w:cs="Times New Roman"/>
          <w:bCs/>
          <w:sz w:val="32"/>
          <w:szCs w:val="32"/>
          <w:lang w:val="en-IN"/>
        </w:rPr>
        <w:t xml:space="preserve">acitor models.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294B7F" w:rsidTr="000C407B">
        <w:tc>
          <w:tcPr>
            <w:tcW w:w="3192" w:type="dxa"/>
          </w:tcPr>
          <w:p w:rsidR="00294B7F" w:rsidRPr="00F1125C" w:rsidRDefault="00294B7F" w:rsidP="00E53AA4">
            <w:pPr>
              <w:tabs>
                <w:tab w:val="left" w:pos="720"/>
              </w:tabs>
              <w:spacing w:after="100" w:line="360" w:lineRule="auto"/>
              <w:jc w:val="both"/>
              <w:rPr>
                <w:rFonts w:ascii="Times New Roman" w:hAnsi="Times New Roman" w:cs="Times New Roman"/>
                <w:sz w:val="28"/>
                <w:szCs w:val="28"/>
              </w:rPr>
            </w:pPr>
            <w:r w:rsidRPr="00F1125C">
              <w:rPr>
                <w:rFonts w:ascii="Times New Roman" w:eastAsia="Times New Roman" w:hAnsi="Times New Roman" w:cs="Times New Roman"/>
                <w:sz w:val="28"/>
                <w:szCs w:val="28"/>
                <w:lang w:val="en-IN"/>
              </w:rPr>
              <w:t>Overview of current development in electrical energy storage technologies and the application potential in power system operation</w:t>
            </w:r>
          </w:p>
        </w:tc>
        <w:tc>
          <w:tcPr>
            <w:tcW w:w="3192" w:type="dxa"/>
          </w:tcPr>
          <w:p w:rsidR="00294B7F" w:rsidRPr="00F1125C" w:rsidRDefault="00294B7F" w:rsidP="00294B7F">
            <w:pPr>
              <w:tabs>
                <w:tab w:val="left" w:pos="720"/>
              </w:tabs>
              <w:spacing w:after="100" w:line="360" w:lineRule="auto"/>
              <w:jc w:val="both"/>
              <w:rPr>
                <w:rFonts w:ascii="Times New Roman" w:hAnsi="Times New Roman" w:cs="Times New Roman"/>
                <w:sz w:val="28"/>
                <w:szCs w:val="28"/>
              </w:rPr>
            </w:pPr>
            <w:r w:rsidRPr="00F1125C">
              <w:rPr>
                <w:rFonts w:ascii="Times New Roman" w:eastAsia="Times New Roman" w:hAnsi="Times New Roman" w:cs="Times New Roman"/>
                <w:sz w:val="28"/>
                <w:szCs w:val="28"/>
                <w:lang w:val="en-IN"/>
              </w:rPr>
              <w:t xml:space="preserve">X. Luo, J. Wang et al., </w:t>
            </w:r>
          </w:p>
        </w:tc>
        <w:tc>
          <w:tcPr>
            <w:tcW w:w="3192" w:type="dxa"/>
          </w:tcPr>
          <w:p w:rsidR="00294B7F" w:rsidRPr="00F1125C" w:rsidRDefault="00294B7F" w:rsidP="00E53AA4">
            <w:pPr>
              <w:tabs>
                <w:tab w:val="left" w:pos="720"/>
              </w:tabs>
              <w:spacing w:after="100" w:line="360" w:lineRule="auto"/>
              <w:jc w:val="both"/>
              <w:rPr>
                <w:rFonts w:ascii="Times New Roman" w:hAnsi="Times New Roman" w:cs="Times New Roman"/>
                <w:sz w:val="28"/>
                <w:szCs w:val="28"/>
              </w:rPr>
            </w:pPr>
            <w:r w:rsidRPr="00F1125C">
              <w:rPr>
                <w:rFonts w:ascii="Times New Roman" w:hAnsi="Times New Roman" w:cs="Times New Roman"/>
                <w:sz w:val="28"/>
                <w:szCs w:val="28"/>
              </w:rPr>
              <w:t>The extensive use of such energy sources in today’s electricity networks can indisputably minimize the threat of global warming and climate change.</w:t>
            </w:r>
          </w:p>
        </w:tc>
      </w:tr>
      <w:tr w:rsidR="00294B7F" w:rsidTr="000C407B">
        <w:tc>
          <w:tcPr>
            <w:tcW w:w="3192" w:type="dxa"/>
          </w:tcPr>
          <w:p w:rsidR="00294B7F" w:rsidRPr="00F1125C" w:rsidRDefault="00F1125C" w:rsidP="00E53AA4">
            <w:pPr>
              <w:tabs>
                <w:tab w:val="left" w:pos="720"/>
              </w:tabs>
              <w:spacing w:after="100" w:line="360" w:lineRule="auto"/>
              <w:jc w:val="both"/>
              <w:rPr>
                <w:rFonts w:ascii="Times New Roman" w:hAnsi="Times New Roman" w:cs="Times New Roman"/>
                <w:sz w:val="28"/>
                <w:szCs w:val="28"/>
              </w:rPr>
            </w:pPr>
            <w:r w:rsidRPr="00F1125C">
              <w:rPr>
                <w:rFonts w:ascii="Times New Roman" w:hAnsi="Times New Roman" w:cs="Times New Roman"/>
                <w:sz w:val="28"/>
                <w:szCs w:val="28"/>
              </w:rPr>
              <w:t>Ultracapacitors frequency response application brief</w:t>
            </w:r>
          </w:p>
        </w:tc>
        <w:tc>
          <w:tcPr>
            <w:tcW w:w="3192" w:type="dxa"/>
          </w:tcPr>
          <w:p w:rsidR="00294B7F" w:rsidRPr="00F1125C" w:rsidRDefault="00F1125C" w:rsidP="00F1125C">
            <w:pPr>
              <w:tabs>
                <w:tab w:val="left" w:pos="720"/>
              </w:tabs>
              <w:spacing w:after="100" w:line="360" w:lineRule="auto"/>
              <w:jc w:val="both"/>
              <w:rPr>
                <w:rFonts w:ascii="Times New Roman" w:hAnsi="Times New Roman" w:cs="Times New Roman"/>
                <w:sz w:val="28"/>
                <w:szCs w:val="28"/>
              </w:rPr>
            </w:pPr>
            <w:r w:rsidRPr="00F1125C">
              <w:rPr>
                <w:rFonts w:ascii="Times New Roman" w:hAnsi="Times New Roman" w:cs="Times New Roman"/>
                <w:sz w:val="28"/>
                <w:szCs w:val="28"/>
              </w:rPr>
              <w:t xml:space="preserve">Maxwell Technologies, </w:t>
            </w:r>
          </w:p>
        </w:tc>
        <w:tc>
          <w:tcPr>
            <w:tcW w:w="3192" w:type="dxa"/>
          </w:tcPr>
          <w:p w:rsidR="00294B7F" w:rsidRPr="00F1125C" w:rsidRDefault="00F1125C" w:rsidP="00E53AA4">
            <w:pPr>
              <w:tabs>
                <w:tab w:val="left" w:pos="720"/>
              </w:tabs>
              <w:spacing w:after="100" w:line="360" w:lineRule="auto"/>
              <w:jc w:val="both"/>
              <w:rPr>
                <w:rFonts w:ascii="Times New Roman" w:hAnsi="Times New Roman" w:cs="Times New Roman"/>
                <w:sz w:val="28"/>
                <w:szCs w:val="28"/>
              </w:rPr>
            </w:pPr>
            <w:r w:rsidRPr="00F1125C">
              <w:rPr>
                <w:rFonts w:ascii="Times New Roman" w:hAnsi="Times New Roman" w:cs="Times New Roman"/>
                <w:sz w:val="28"/>
                <w:szCs w:val="28"/>
              </w:rPr>
              <w:t>An efficient electrical energy storage media are essential and are considered as a short term and an enabling infrastructure power technology.</w:t>
            </w:r>
          </w:p>
        </w:tc>
      </w:tr>
      <w:tr w:rsidR="00294B7F" w:rsidTr="000C407B">
        <w:tc>
          <w:tcPr>
            <w:tcW w:w="3192" w:type="dxa"/>
          </w:tcPr>
          <w:p w:rsidR="00294B7F" w:rsidRPr="00F1125C" w:rsidRDefault="00F1125C" w:rsidP="00E53AA4">
            <w:pPr>
              <w:tabs>
                <w:tab w:val="left" w:pos="720"/>
              </w:tabs>
              <w:spacing w:after="100" w:line="360" w:lineRule="auto"/>
              <w:jc w:val="both"/>
              <w:rPr>
                <w:rFonts w:ascii="Times New Roman" w:hAnsi="Times New Roman" w:cs="Times New Roman"/>
                <w:sz w:val="28"/>
                <w:szCs w:val="28"/>
              </w:rPr>
            </w:pPr>
            <w:r w:rsidRPr="00F1125C">
              <w:rPr>
                <w:rFonts w:ascii="Times New Roman" w:hAnsi="Times New Roman" w:cs="Times New Roman"/>
                <w:sz w:val="28"/>
                <w:szCs w:val="28"/>
              </w:rPr>
              <w:t>Management of fuel cell power and supercapacitor state-of-charge for electric vehicles</w:t>
            </w:r>
          </w:p>
        </w:tc>
        <w:tc>
          <w:tcPr>
            <w:tcW w:w="3192" w:type="dxa"/>
          </w:tcPr>
          <w:p w:rsidR="00294B7F" w:rsidRPr="00F1125C" w:rsidRDefault="00F1125C" w:rsidP="00F1125C">
            <w:pPr>
              <w:tabs>
                <w:tab w:val="left" w:pos="720"/>
              </w:tabs>
              <w:spacing w:after="100" w:line="360" w:lineRule="auto"/>
              <w:jc w:val="both"/>
              <w:rPr>
                <w:rFonts w:ascii="Times New Roman" w:hAnsi="Times New Roman" w:cs="Times New Roman"/>
                <w:sz w:val="28"/>
                <w:szCs w:val="28"/>
              </w:rPr>
            </w:pPr>
            <w:r w:rsidRPr="00F1125C">
              <w:rPr>
                <w:rFonts w:ascii="Times New Roman" w:hAnsi="Times New Roman" w:cs="Times New Roman"/>
                <w:sz w:val="28"/>
                <w:szCs w:val="28"/>
              </w:rPr>
              <w:t xml:space="preserve">A. Tahri, H. E. Fadil et al., </w:t>
            </w:r>
          </w:p>
        </w:tc>
        <w:tc>
          <w:tcPr>
            <w:tcW w:w="3192" w:type="dxa"/>
          </w:tcPr>
          <w:p w:rsidR="00294B7F" w:rsidRPr="00F1125C" w:rsidRDefault="00F1125C" w:rsidP="00E53AA4">
            <w:pPr>
              <w:tabs>
                <w:tab w:val="left" w:pos="720"/>
              </w:tabs>
              <w:spacing w:after="100" w:line="360" w:lineRule="auto"/>
              <w:jc w:val="both"/>
              <w:rPr>
                <w:rFonts w:ascii="Times New Roman" w:hAnsi="Times New Roman" w:cs="Times New Roman"/>
                <w:sz w:val="28"/>
                <w:szCs w:val="28"/>
              </w:rPr>
            </w:pPr>
            <w:r w:rsidRPr="00F1125C">
              <w:rPr>
                <w:rFonts w:ascii="Times New Roman" w:hAnsi="Times New Roman" w:cs="Times New Roman"/>
                <w:sz w:val="28"/>
                <w:szCs w:val="28"/>
              </w:rPr>
              <w:t xml:space="preserve">This paper focuses on electric fuel cell vehicles, which optimally combine the fuel cell system with </w:t>
            </w:r>
            <w:r w:rsidRPr="00F1125C">
              <w:rPr>
                <w:rFonts w:ascii="Times New Roman" w:hAnsi="Times New Roman" w:cs="Times New Roman"/>
                <w:sz w:val="28"/>
                <w:szCs w:val="28"/>
              </w:rPr>
              <w:lastRenderedPageBreak/>
              <w:t>hybrid energy storage systems, represented by batteries and ultracapacitors, to meet the dynamic power demand required by the electric motor and auxiliary systems.</w:t>
            </w:r>
          </w:p>
        </w:tc>
      </w:tr>
      <w:tr w:rsidR="00294B7F" w:rsidTr="000C407B">
        <w:tc>
          <w:tcPr>
            <w:tcW w:w="3192" w:type="dxa"/>
          </w:tcPr>
          <w:p w:rsidR="00294B7F" w:rsidRPr="00F1125C" w:rsidRDefault="00F1125C" w:rsidP="00E53AA4">
            <w:pPr>
              <w:tabs>
                <w:tab w:val="left" w:pos="720"/>
              </w:tabs>
              <w:spacing w:after="100" w:line="360" w:lineRule="auto"/>
              <w:jc w:val="both"/>
              <w:rPr>
                <w:rFonts w:ascii="Times New Roman" w:hAnsi="Times New Roman" w:cs="Times New Roman"/>
                <w:sz w:val="28"/>
                <w:szCs w:val="28"/>
              </w:rPr>
            </w:pPr>
            <w:r w:rsidRPr="00F1125C">
              <w:rPr>
                <w:rFonts w:ascii="Times New Roman" w:hAnsi="Times New Roman" w:cs="Times New Roman"/>
                <w:sz w:val="28"/>
                <w:szCs w:val="28"/>
              </w:rPr>
              <w:lastRenderedPageBreak/>
              <w:t>Optimization of battery–supercapacitor hybrid energy storage station in wind/solar generation system</w:t>
            </w:r>
          </w:p>
        </w:tc>
        <w:tc>
          <w:tcPr>
            <w:tcW w:w="3192" w:type="dxa"/>
          </w:tcPr>
          <w:p w:rsidR="00294B7F" w:rsidRPr="00F1125C" w:rsidRDefault="00F1125C" w:rsidP="00F1125C">
            <w:pPr>
              <w:tabs>
                <w:tab w:val="left" w:pos="720"/>
              </w:tabs>
              <w:spacing w:after="100" w:line="360" w:lineRule="auto"/>
              <w:jc w:val="both"/>
              <w:rPr>
                <w:rFonts w:ascii="Times New Roman" w:hAnsi="Times New Roman" w:cs="Times New Roman"/>
                <w:sz w:val="28"/>
                <w:szCs w:val="28"/>
              </w:rPr>
            </w:pPr>
            <w:r w:rsidRPr="00F1125C">
              <w:rPr>
                <w:rFonts w:ascii="Times New Roman" w:hAnsi="Times New Roman" w:cs="Times New Roman"/>
                <w:sz w:val="28"/>
                <w:szCs w:val="28"/>
              </w:rPr>
              <w:t xml:space="preserve">T. Zhou and W. Sun, </w:t>
            </w:r>
          </w:p>
        </w:tc>
        <w:tc>
          <w:tcPr>
            <w:tcW w:w="3192" w:type="dxa"/>
          </w:tcPr>
          <w:p w:rsidR="00294B7F" w:rsidRPr="00F1125C" w:rsidRDefault="00F1125C" w:rsidP="00E53AA4">
            <w:pPr>
              <w:tabs>
                <w:tab w:val="left" w:pos="720"/>
              </w:tabs>
              <w:spacing w:after="100" w:line="360" w:lineRule="auto"/>
              <w:jc w:val="both"/>
              <w:rPr>
                <w:rFonts w:ascii="Times New Roman" w:hAnsi="Times New Roman" w:cs="Times New Roman"/>
                <w:sz w:val="28"/>
                <w:szCs w:val="28"/>
              </w:rPr>
            </w:pPr>
            <w:r w:rsidRPr="00F1125C">
              <w:rPr>
                <w:rFonts w:ascii="Times New Roman" w:hAnsi="Times New Roman" w:cs="Times New Roman"/>
                <w:color w:val="333333"/>
                <w:sz w:val="28"/>
                <w:szCs w:val="28"/>
                <w:shd w:val="clear" w:color="auto" w:fill="FFFFFF"/>
              </w:rPr>
              <w:t>In this paper, mathematical models of wind/solar generation systems, battery, and supercapacitor are built, the objective optimization function of HESS is proposed, and various constraints are considered.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294B7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294B7F" w:rsidRDefault="00405E73" w:rsidP="00E53AA4">
      <w:pPr>
        <w:spacing w:after="0" w:line="360" w:lineRule="auto"/>
        <w:jc w:val="both"/>
        <w:rPr>
          <w:rFonts w:ascii="Times New Roman" w:hAnsi="Times New Roman" w:cs="Times New Roman"/>
          <w:b/>
          <w:sz w:val="36"/>
          <w:szCs w:val="36"/>
        </w:rPr>
      </w:pPr>
      <w:r w:rsidRPr="00294B7F">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294B7F" w:rsidP="00E53AA4">
      <w:pPr>
        <w:spacing w:after="0" w:line="360" w:lineRule="auto"/>
        <w:jc w:val="both"/>
        <w:rPr>
          <w:rFonts w:ascii="Times New Roman" w:hAnsi="Times New Roman" w:cs="Times New Roman"/>
        </w:rPr>
      </w:pPr>
      <w:r w:rsidRPr="00294B7F">
        <w:rPr>
          <w:rFonts w:ascii="Times New Roman" w:hAnsi="Times New Roman" w:cs="Times New Roman"/>
        </w:rPr>
        <w:drawing>
          <wp:inline distT="0" distB="0" distL="0" distR="0">
            <wp:extent cx="5943600" cy="3920490"/>
            <wp:effectExtent l="19050" t="0" r="0" b="0"/>
            <wp:docPr id="2"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jpg"/>
                    <pic:cNvPicPr>
                      <a:picLocks noGrp="1" noChangeAspect="1" noChangeArrowheads="1"/>
                    </pic:cNvPicPr>
                  </pic:nvPicPr>
                  <pic:blipFill>
                    <a:blip r:embed="rId8"/>
                    <a:srcRect/>
                    <a:stretch>
                      <a:fillRect/>
                    </a:stretch>
                  </pic:blipFill>
                  <pic:spPr bwMode="auto">
                    <a:xfrm>
                      <a:off x="0" y="0"/>
                      <a:ext cx="5943600" cy="39204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94B7F" w:rsidRPr="00294B7F" w:rsidRDefault="00294B7F" w:rsidP="00294B7F">
      <w:pPr>
        <w:pStyle w:val="BodyText"/>
        <w:rPr>
          <w:bCs/>
          <w:iCs/>
          <w:sz w:val="32"/>
          <w:szCs w:val="32"/>
          <w:lang w:val="en-IN"/>
        </w:rPr>
      </w:pPr>
      <w:r w:rsidRPr="00294B7F">
        <w:rPr>
          <w:bCs/>
          <w:iCs/>
          <w:sz w:val="32"/>
          <w:szCs w:val="32"/>
          <w:lang w:val="en-IN"/>
        </w:rPr>
        <w:t xml:space="preserve">    In this paper, an accurate supercapacitor bank model and associated control system has been presented for the use in power system dynamics simulations. Starting from the most detailed RC model of a supercapacitor cell, the model has been gradually reduced until arriving to the simplest representation which adequately describes the supercapacitor dynamics, confirmed by simulation experiments. The proposed model is described with only 4 parameters which are easily obtained from manufacturer’s data sheet: capacitance at zero voltage, voltage-dependent capacitance, DC resistance and high-frequency resistance. The performance of the presented model compared to an ideal model has been tested in an IEEE 14-bus test system in frequency control and LVRT scenarios.</w:t>
      </w:r>
      <w:r w:rsidRPr="00294B7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94B7F"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294B7F" w:rsidRDefault="00294B7F" w:rsidP="00E53AA4">
      <w:pPr>
        <w:pStyle w:val="BodyText"/>
        <w:rPr>
          <w:b/>
          <w:iCs/>
          <w:sz w:val="28"/>
          <w:szCs w:val="28"/>
        </w:rPr>
      </w:pPr>
    </w:p>
    <w:p w:rsidR="00294B7F" w:rsidRDefault="00294B7F" w:rsidP="00E53AA4">
      <w:pPr>
        <w:pStyle w:val="BodyText"/>
        <w:rPr>
          <w:b/>
          <w:iCs/>
          <w:sz w:val="28"/>
          <w:szCs w:val="28"/>
        </w:rPr>
      </w:pPr>
    </w:p>
    <w:p w:rsidR="00294B7F" w:rsidRDefault="00294B7F" w:rsidP="00E53AA4">
      <w:pPr>
        <w:pStyle w:val="BodyText"/>
        <w:rPr>
          <w:b/>
          <w:iCs/>
          <w:sz w:val="28"/>
          <w:szCs w:val="28"/>
        </w:rPr>
      </w:pPr>
    </w:p>
    <w:p w:rsidR="00294B7F" w:rsidRDefault="00294B7F" w:rsidP="00E53AA4">
      <w:pPr>
        <w:pStyle w:val="BodyText"/>
        <w:rPr>
          <w:b/>
          <w:iCs/>
          <w:sz w:val="28"/>
          <w:szCs w:val="28"/>
        </w:rPr>
      </w:pPr>
    </w:p>
    <w:p w:rsidR="00294B7F" w:rsidRDefault="00294B7F" w:rsidP="00E53AA4">
      <w:pPr>
        <w:pStyle w:val="BodyText"/>
        <w:rPr>
          <w:b/>
          <w:iCs/>
          <w:sz w:val="28"/>
          <w:szCs w:val="28"/>
        </w:rPr>
      </w:pPr>
    </w:p>
    <w:p w:rsidR="00294B7F" w:rsidRDefault="00294B7F" w:rsidP="00E53AA4">
      <w:pPr>
        <w:pStyle w:val="BodyText"/>
        <w:rPr>
          <w:b/>
          <w:iCs/>
          <w:sz w:val="28"/>
          <w:szCs w:val="28"/>
        </w:rPr>
      </w:pPr>
    </w:p>
    <w:p w:rsidR="00294B7F" w:rsidRDefault="00294B7F" w:rsidP="00E53AA4">
      <w:pPr>
        <w:pStyle w:val="BodyText"/>
        <w:rPr>
          <w:b/>
          <w:iCs/>
          <w:sz w:val="28"/>
          <w:szCs w:val="28"/>
        </w:rPr>
      </w:pPr>
    </w:p>
    <w:p w:rsidR="00294B7F" w:rsidRDefault="00294B7F" w:rsidP="00E53AA4">
      <w:pPr>
        <w:pStyle w:val="BodyText"/>
        <w:rPr>
          <w:b/>
          <w:iCs/>
          <w:sz w:val="28"/>
          <w:szCs w:val="28"/>
        </w:rPr>
      </w:pPr>
    </w:p>
    <w:p w:rsidR="00370D47" w:rsidRPr="003C0F6F" w:rsidRDefault="00370D47" w:rsidP="00294B7F">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94B7F" w:rsidRDefault="00AA15F5" w:rsidP="00294B7F">
      <w:pPr>
        <w:pStyle w:val="BodyText"/>
        <w:numPr>
          <w:ilvl w:val="0"/>
          <w:numId w:val="46"/>
        </w:numPr>
        <w:rPr>
          <w:sz w:val="32"/>
          <w:szCs w:val="32"/>
          <w:lang w:val="en-IN"/>
        </w:rPr>
      </w:pPr>
      <w:r w:rsidRPr="00294B7F">
        <w:rPr>
          <w:sz w:val="32"/>
          <w:szCs w:val="32"/>
          <w:lang w:val="en-IN"/>
        </w:rPr>
        <w:t xml:space="preserve">[1] X. Luo, J. Wang et al., “Overview of current development in electrical energy storage technologies and the application potential in power system operation,” Applied Energy, vol. 137, pp. 511–536, jan 2015. </w:t>
      </w:r>
    </w:p>
    <w:p w:rsidR="00000000" w:rsidRPr="00294B7F" w:rsidRDefault="00AA15F5" w:rsidP="00294B7F">
      <w:pPr>
        <w:pStyle w:val="BodyText"/>
        <w:numPr>
          <w:ilvl w:val="0"/>
          <w:numId w:val="46"/>
        </w:numPr>
        <w:rPr>
          <w:sz w:val="32"/>
          <w:szCs w:val="32"/>
          <w:lang w:val="en-IN"/>
        </w:rPr>
      </w:pPr>
      <w:r w:rsidRPr="00294B7F">
        <w:rPr>
          <w:sz w:val="32"/>
          <w:szCs w:val="32"/>
          <w:lang w:val="en-IN"/>
        </w:rPr>
        <w:t xml:space="preserve">[2] </w:t>
      </w:r>
      <w:r w:rsidRPr="00294B7F">
        <w:rPr>
          <w:sz w:val="32"/>
          <w:szCs w:val="32"/>
          <w:lang w:val="en-IN"/>
        </w:rPr>
        <w:t xml:space="preserve">Maxwell Technologies, “Ultracapacitors frequency response application brief,” 2018, technical brochure. </w:t>
      </w:r>
    </w:p>
    <w:p w:rsidR="00000000" w:rsidRPr="00294B7F" w:rsidRDefault="00AA15F5" w:rsidP="00294B7F">
      <w:pPr>
        <w:pStyle w:val="BodyText"/>
        <w:numPr>
          <w:ilvl w:val="0"/>
          <w:numId w:val="46"/>
        </w:numPr>
        <w:rPr>
          <w:sz w:val="32"/>
          <w:szCs w:val="32"/>
          <w:lang w:val="en-IN"/>
        </w:rPr>
      </w:pPr>
      <w:r w:rsidRPr="00294B7F">
        <w:rPr>
          <w:sz w:val="32"/>
          <w:szCs w:val="32"/>
          <w:lang w:val="en-IN"/>
        </w:rPr>
        <w:t xml:space="preserve">[3] A. Tahri, H. E. Fadil et al., “Management of fuel cell power and supercapacitor state-of-charge for electric vehicles,” Electr. Power Syst. Res., </w:t>
      </w:r>
      <w:r w:rsidRPr="00294B7F">
        <w:rPr>
          <w:sz w:val="32"/>
          <w:szCs w:val="32"/>
          <w:lang w:val="en-IN"/>
        </w:rPr>
        <w:t xml:space="preserve">vol. 160, pp. 89 – 98, 2018. </w:t>
      </w:r>
    </w:p>
    <w:p w:rsidR="00000000" w:rsidRPr="00294B7F" w:rsidRDefault="00AA15F5" w:rsidP="00294B7F">
      <w:pPr>
        <w:pStyle w:val="BodyText"/>
        <w:numPr>
          <w:ilvl w:val="0"/>
          <w:numId w:val="46"/>
        </w:numPr>
        <w:rPr>
          <w:sz w:val="32"/>
          <w:szCs w:val="32"/>
          <w:lang w:val="en-IN"/>
        </w:rPr>
      </w:pPr>
      <w:r w:rsidRPr="00294B7F">
        <w:rPr>
          <w:sz w:val="32"/>
          <w:szCs w:val="32"/>
          <w:lang w:val="en-IN"/>
        </w:rPr>
        <w:t xml:space="preserve">[4] T. Zhou and W. Sun, “Optimization of battery–supercapacitor hybrid energy storage station in wind/solar generation system,” IEEE Trans. Sustain. Energy, vol. 5, no. 2, pp. 408–415, April 2014. </w:t>
      </w:r>
    </w:p>
    <w:p w:rsidR="00000000" w:rsidRPr="00294B7F" w:rsidRDefault="00AA15F5" w:rsidP="00294B7F">
      <w:pPr>
        <w:pStyle w:val="BodyText"/>
        <w:numPr>
          <w:ilvl w:val="0"/>
          <w:numId w:val="46"/>
        </w:numPr>
        <w:rPr>
          <w:sz w:val="32"/>
          <w:szCs w:val="32"/>
          <w:lang w:val="en-IN"/>
        </w:rPr>
      </w:pPr>
      <w:r w:rsidRPr="00294B7F">
        <w:rPr>
          <w:sz w:val="32"/>
          <w:szCs w:val="32"/>
          <w:lang w:val="en-IN"/>
        </w:rPr>
        <w:t xml:space="preserve">[5] M. F. M. Arani and E. </w:t>
      </w:r>
      <w:r w:rsidRPr="00294B7F">
        <w:rPr>
          <w:sz w:val="32"/>
          <w:szCs w:val="32"/>
          <w:lang w:val="en-IN"/>
        </w:rPr>
        <w:t>F. El-Saadany, “Implementing virtual inertia in dfig-based wind power generation,” IEEE Trans. Power Syst., vol. 28, no. 2, pp. 1373–1384, May 2013.</w:t>
      </w:r>
      <w:r w:rsidRPr="00294B7F">
        <w:rPr>
          <w:sz w:val="32"/>
          <w:szCs w:val="32"/>
        </w:rPr>
        <w:t xml:space="preserve"> </w:t>
      </w:r>
    </w:p>
    <w:p w:rsidR="00000000" w:rsidRPr="00294B7F" w:rsidRDefault="00AA15F5" w:rsidP="00294B7F">
      <w:pPr>
        <w:pStyle w:val="BodyText"/>
        <w:numPr>
          <w:ilvl w:val="0"/>
          <w:numId w:val="46"/>
        </w:numPr>
        <w:rPr>
          <w:sz w:val="32"/>
          <w:szCs w:val="32"/>
          <w:lang w:val="en-IN"/>
        </w:rPr>
      </w:pPr>
      <w:r w:rsidRPr="00294B7F">
        <w:rPr>
          <w:sz w:val="32"/>
          <w:szCs w:val="32"/>
          <w:lang w:val="en-IN"/>
        </w:rPr>
        <w:t>[6] S. I. Gkavanoudis and C. S. Demoulias, “A combined fault ride-through and power smoothing control met</w:t>
      </w:r>
      <w:r w:rsidRPr="00294B7F">
        <w:rPr>
          <w:sz w:val="32"/>
          <w:szCs w:val="32"/>
          <w:lang w:val="en-IN"/>
        </w:rPr>
        <w:t xml:space="preserve">hod for full-converter wind turbines employing supercapacitor energy storage system,” Electr. Power Syst. Res., vol. 106, pp. 62 – 72, 2014. </w:t>
      </w:r>
    </w:p>
    <w:p w:rsidR="00000000" w:rsidRPr="00294B7F" w:rsidRDefault="00AA15F5" w:rsidP="00294B7F">
      <w:pPr>
        <w:pStyle w:val="BodyText"/>
        <w:numPr>
          <w:ilvl w:val="0"/>
          <w:numId w:val="46"/>
        </w:numPr>
        <w:rPr>
          <w:sz w:val="32"/>
          <w:szCs w:val="32"/>
          <w:lang w:val="en-IN"/>
        </w:rPr>
      </w:pPr>
      <w:r w:rsidRPr="00294B7F">
        <w:rPr>
          <w:sz w:val="32"/>
          <w:szCs w:val="32"/>
          <w:lang w:val="en-IN"/>
        </w:rPr>
        <w:t>[7] J. Fang, Y. Tang et al., “A battery/ultracapacitor hybrid energy storage system for implementing the power ma</w:t>
      </w:r>
      <w:r w:rsidRPr="00294B7F">
        <w:rPr>
          <w:sz w:val="32"/>
          <w:szCs w:val="32"/>
          <w:lang w:val="en-IN"/>
        </w:rPr>
        <w:t xml:space="preserve">nagement of virtual </w:t>
      </w:r>
      <w:r w:rsidRPr="00294B7F">
        <w:rPr>
          <w:sz w:val="32"/>
          <w:szCs w:val="32"/>
          <w:lang w:val="en-IN"/>
        </w:rPr>
        <w:lastRenderedPageBreak/>
        <w:t xml:space="preserve">synchronous generators,” IEEE Trans. Power Electron., vol. 33, no. 4, pp. 2820–2824, April 2018. </w:t>
      </w:r>
    </w:p>
    <w:p w:rsidR="00000000" w:rsidRPr="00294B7F" w:rsidRDefault="00AA15F5" w:rsidP="00294B7F">
      <w:pPr>
        <w:pStyle w:val="BodyText"/>
        <w:numPr>
          <w:ilvl w:val="0"/>
          <w:numId w:val="46"/>
        </w:numPr>
        <w:rPr>
          <w:sz w:val="32"/>
          <w:szCs w:val="32"/>
          <w:lang w:val="en-IN"/>
        </w:rPr>
      </w:pPr>
      <w:r w:rsidRPr="00294B7F">
        <w:rPr>
          <w:sz w:val="32"/>
          <w:szCs w:val="32"/>
          <w:lang w:val="en-IN"/>
        </w:rPr>
        <w:t xml:space="preserve">[8] M. H. Fini and M. E. H. Golshan, “Determining optimal virtual inertia and frequency control parameters to </w:t>
      </w:r>
      <w:r w:rsidRPr="00294B7F">
        <w:rPr>
          <w:sz w:val="32"/>
          <w:szCs w:val="32"/>
          <w:lang w:val="en-IN"/>
        </w:rPr>
        <w:t xml:space="preserve">preserve the frequency stability in islanded microgrids with high penetration of renewables,” Electr. Power Syst. Res., vol. 154, pp. 13 – 22, 2018. </w:t>
      </w:r>
    </w:p>
    <w:p w:rsidR="00000000" w:rsidRPr="00294B7F" w:rsidRDefault="00AA15F5" w:rsidP="00294B7F">
      <w:pPr>
        <w:pStyle w:val="BodyText"/>
        <w:numPr>
          <w:ilvl w:val="0"/>
          <w:numId w:val="46"/>
        </w:numPr>
        <w:rPr>
          <w:sz w:val="32"/>
          <w:szCs w:val="32"/>
          <w:lang w:val="en-IN"/>
        </w:rPr>
      </w:pPr>
      <w:r w:rsidRPr="00294B7F">
        <w:rPr>
          <w:sz w:val="32"/>
          <w:szCs w:val="32"/>
          <w:lang w:val="en-IN"/>
        </w:rPr>
        <w:t xml:space="preserve">[9] V. Gevorgian, E. Muljadi et al., “Supercapacitor to provide ancillary services,” in 2017 IEEE Energy </w:t>
      </w:r>
      <w:r w:rsidRPr="00294B7F">
        <w:rPr>
          <w:sz w:val="32"/>
          <w:szCs w:val="32"/>
          <w:lang w:val="en-IN"/>
        </w:rPr>
        <w:t xml:space="preserve">Conversion Congress and Exposition (ECCE), Oct 2017, pp. 1030–1036. </w:t>
      </w:r>
    </w:p>
    <w:p w:rsidR="00000000" w:rsidRPr="00294B7F" w:rsidRDefault="00AA15F5" w:rsidP="00294B7F">
      <w:pPr>
        <w:pStyle w:val="BodyText"/>
        <w:numPr>
          <w:ilvl w:val="0"/>
          <w:numId w:val="46"/>
        </w:numPr>
        <w:rPr>
          <w:sz w:val="32"/>
          <w:szCs w:val="32"/>
          <w:lang w:val="en-IN"/>
        </w:rPr>
      </w:pPr>
      <w:r w:rsidRPr="00294B7F">
        <w:rPr>
          <w:sz w:val="32"/>
          <w:szCs w:val="32"/>
          <w:lang w:val="en-IN"/>
        </w:rPr>
        <w:t>[10] L. Sigrist, I. Egido et al., “Sizing and controller setting of ultracapacitors for frequency stability enhancement of small isolated power systems,” IEEE Trans. Power Syst., vol. 30</w:t>
      </w:r>
      <w:r w:rsidRPr="00294B7F">
        <w:rPr>
          <w:sz w:val="32"/>
          <w:szCs w:val="32"/>
          <w:lang w:val="en-IN"/>
        </w:rPr>
        <w:t xml:space="preserve">, no. 4, pp. 2130–2138, July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15F5" w:rsidRDefault="00AA15F5" w:rsidP="003654DF">
      <w:pPr>
        <w:spacing w:after="0" w:line="240" w:lineRule="auto"/>
      </w:pPr>
      <w:r>
        <w:separator/>
      </w:r>
    </w:p>
  </w:endnote>
  <w:endnote w:type="continuationSeparator" w:id="1">
    <w:p w:rsidR="00AA15F5" w:rsidRDefault="00AA15F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15F5" w:rsidRDefault="00AA15F5" w:rsidP="003654DF">
      <w:pPr>
        <w:spacing w:after="0" w:line="240" w:lineRule="auto"/>
      </w:pPr>
      <w:r>
        <w:separator/>
      </w:r>
    </w:p>
  </w:footnote>
  <w:footnote w:type="continuationSeparator" w:id="1">
    <w:p w:rsidR="00AA15F5" w:rsidRDefault="00AA15F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00838">
        <w:pPr>
          <w:pStyle w:val="Header"/>
          <w:jc w:val="right"/>
        </w:pPr>
        <w:fldSimple w:instr=" PAGE   \* MERGEFORMAT ">
          <w:r w:rsidR="00D747A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C14C8"/>
    <w:multiLevelType w:val="hybridMultilevel"/>
    <w:tmpl w:val="CD6071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D047C9"/>
    <w:multiLevelType w:val="hybridMultilevel"/>
    <w:tmpl w:val="37F66596"/>
    <w:lvl w:ilvl="0" w:tplc="A9BE772A">
      <w:start w:val="1"/>
      <w:numFmt w:val="bullet"/>
      <w:lvlText w:val=""/>
      <w:lvlJc w:val="left"/>
      <w:pPr>
        <w:tabs>
          <w:tab w:val="num" w:pos="720"/>
        </w:tabs>
        <w:ind w:left="720" w:hanging="360"/>
      </w:pPr>
      <w:rPr>
        <w:rFonts w:ascii="Wingdings 2" w:hAnsi="Wingdings 2" w:hint="default"/>
      </w:rPr>
    </w:lvl>
    <w:lvl w:ilvl="1" w:tplc="FB1E4E20" w:tentative="1">
      <w:start w:val="1"/>
      <w:numFmt w:val="bullet"/>
      <w:lvlText w:val=""/>
      <w:lvlJc w:val="left"/>
      <w:pPr>
        <w:tabs>
          <w:tab w:val="num" w:pos="1440"/>
        </w:tabs>
        <w:ind w:left="1440" w:hanging="360"/>
      </w:pPr>
      <w:rPr>
        <w:rFonts w:ascii="Wingdings 2" w:hAnsi="Wingdings 2" w:hint="default"/>
      </w:rPr>
    </w:lvl>
    <w:lvl w:ilvl="2" w:tplc="A8AA1780" w:tentative="1">
      <w:start w:val="1"/>
      <w:numFmt w:val="bullet"/>
      <w:lvlText w:val=""/>
      <w:lvlJc w:val="left"/>
      <w:pPr>
        <w:tabs>
          <w:tab w:val="num" w:pos="2160"/>
        </w:tabs>
        <w:ind w:left="2160" w:hanging="360"/>
      </w:pPr>
      <w:rPr>
        <w:rFonts w:ascii="Wingdings 2" w:hAnsi="Wingdings 2" w:hint="default"/>
      </w:rPr>
    </w:lvl>
    <w:lvl w:ilvl="3" w:tplc="F174708E" w:tentative="1">
      <w:start w:val="1"/>
      <w:numFmt w:val="bullet"/>
      <w:lvlText w:val=""/>
      <w:lvlJc w:val="left"/>
      <w:pPr>
        <w:tabs>
          <w:tab w:val="num" w:pos="2880"/>
        </w:tabs>
        <w:ind w:left="2880" w:hanging="360"/>
      </w:pPr>
      <w:rPr>
        <w:rFonts w:ascii="Wingdings 2" w:hAnsi="Wingdings 2" w:hint="default"/>
      </w:rPr>
    </w:lvl>
    <w:lvl w:ilvl="4" w:tplc="5B24ECF4" w:tentative="1">
      <w:start w:val="1"/>
      <w:numFmt w:val="bullet"/>
      <w:lvlText w:val=""/>
      <w:lvlJc w:val="left"/>
      <w:pPr>
        <w:tabs>
          <w:tab w:val="num" w:pos="3600"/>
        </w:tabs>
        <w:ind w:left="3600" w:hanging="360"/>
      </w:pPr>
      <w:rPr>
        <w:rFonts w:ascii="Wingdings 2" w:hAnsi="Wingdings 2" w:hint="default"/>
      </w:rPr>
    </w:lvl>
    <w:lvl w:ilvl="5" w:tplc="E42A9F54" w:tentative="1">
      <w:start w:val="1"/>
      <w:numFmt w:val="bullet"/>
      <w:lvlText w:val=""/>
      <w:lvlJc w:val="left"/>
      <w:pPr>
        <w:tabs>
          <w:tab w:val="num" w:pos="4320"/>
        </w:tabs>
        <w:ind w:left="4320" w:hanging="360"/>
      </w:pPr>
      <w:rPr>
        <w:rFonts w:ascii="Wingdings 2" w:hAnsi="Wingdings 2" w:hint="default"/>
      </w:rPr>
    </w:lvl>
    <w:lvl w:ilvl="6" w:tplc="05920D6E" w:tentative="1">
      <w:start w:val="1"/>
      <w:numFmt w:val="bullet"/>
      <w:lvlText w:val=""/>
      <w:lvlJc w:val="left"/>
      <w:pPr>
        <w:tabs>
          <w:tab w:val="num" w:pos="5040"/>
        </w:tabs>
        <w:ind w:left="5040" w:hanging="360"/>
      </w:pPr>
      <w:rPr>
        <w:rFonts w:ascii="Wingdings 2" w:hAnsi="Wingdings 2" w:hint="default"/>
      </w:rPr>
    </w:lvl>
    <w:lvl w:ilvl="7" w:tplc="8D545580" w:tentative="1">
      <w:start w:val="1"/>
      <w:numFmt w:val="bullet"/>
      <w:lvlText w:val=""/>
      <w:lvlJc w:val="left"/>
      <w:pPr>
        <w:tabs>
          <w:tab w:val="num" w:pos="5760"/>
        </w:tabs>
        <w:ind w:left="5760" w:hanging="360"/>
      </w:pPr>
      <w:rPr>
        <w:rFonts w:ascii="Wingdings 2" w:hAnsi="Wingdings 2" w:hint="default"/>
      </w:rPr>
    </w:lvl>
    <w:lvl w:ilvl="8" w:tplc="A0E84C0A"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51E329B"/>
    <w:multiLevelType w:val="hybridMultilevel"/>
    <w:tmpl w:val="2CFE9A02"/>
    <w:lvl w:ilvl="0" w:tplc="ED5C6812">
      <w:start w:val="1"/>
      <w:numFmt w:val="bullet"/>
      <w:lvlText w:val=""/>
      <w:lvlJc w:val="left"/>
      <w:pPr>
        <w:tabs>
          <w:tab w:val="num" w:pos="720"/>
        </w:tabs>
        <w:ind w:left="720" w:hanging="360"/>
      </w:pPr>
      <w:rPr>
        <w:rFonts w:ascii="Wingdings 2" w:hAnsi="Wingdings 2" w:hint="default"/>
      </w:rPr>
    </w:lvl>
    <w:lvl w:ilvl="1" w:tplc="F7088946" w:tentative="1">
      <w:start w:val="1"/>
      <w:numFmt w:val="bullet"/>
      <w:lvlText w:val=""/>
      <w:lvlJc w:val="left"/>
      <w:pPr>
        <w:tabs>
          <w:tab w:val="num" w:pos="1440"/>
        </w:tabs>
        <w:ind w:left="1440" w:hanging="360"/>
      </w:pPr>
      <w:rPr>
        <w:rFonts w:ascii="Wingdings 2" w:hAnsi="Wingdings 2" w:hint="default"/>
      </w:rPr>
    </w:lvl>
    <w:lvl w:ilvl="2" w:tplc="A7DC3E7A" w:tentative="1">
      <w:start w:val="1"/>
      <w:numFmt w:val="bullet"/>
      <w:lvlText w:val=""/>
      <w:lvlJc w:val="left"/>
      <w:pPr>
        <w:tabs>
          <w:tab w:val="num" w:pos="2160"/>
        </w:tabs>
        <w:ind w:left="2160" w:hanging="360"/>
      </w:pPr>
      <w:rPr>
        <w:rFonts w:ascii="Wingdings 2" w:hAnsi="Wingdings 2" w:hint="default"/>
      </w:rPr>
    </w:lvl>
    <w:lvl w:ilvl="3" w:tplc="17ACA692" w:tentative="1">
      <w:start w:val="1"/>
      <w:numFmt w:val="bullet"/>
      <w:lvlText w:val=""/>
      <w:lvlJc w:val="left"/>
      <w:pPr>
        <w:tabs>
          <w:tab w:val="num" w:pos="2880"/>
        </w:tabs>
        <w:ind w:left="2880" w:hanging="360"/>
      </w:pPr>
      <w:rPr>
        <w:rFonts w:ascii="Wingdings 2" w:hAnsi="Wingdings 2" w:hint="default"/>
      </w:rPr>
    </w:lvl>
    <w:lvl w:ilvl="4" w:tplc="9D6A675C" w:tentative="1">
      <w:start w:val="1"/>
      <w:numFmt w:val="bullet"/>
      <w:lvlText w:val=""/>
      <w:lvlJc w:val="left"/>
      <w:pPr>
        <w:tabs>
          <w:tab w:val="num" w:pos="3600"/>
        </w:tabs>
        <w:ind w:left="3600" w:hanging="360"/>
      </w:pPr>
      <w:rPr>
        <w:rFonts w:ascii="Wingdings 2" w:hAnsi="Wingdings 2" w:hint="default"/>
      </w:rPr>
    </w:lvl>
    <w:lvl w:ilvl="5" w:tplc="C68A1D8C" w:tentative="1">
      <w:start w:val="1"/>
      <w:numFmt w:val="bullet"/>
      <w:lvlText w:val=""/>
      <w:lvlJc w:val="left"/>
      <w:pPr>
        <w:tabs>
          <w:tab w:val="num" w:pos="4320"/>
        </w:tabs>
        <w:ind w:left="4320" w:hanging="360"/>
      </w:pPr>
      <w:rPr>
        <w:rFonts w:ascii="Wingdings 2" w:hAnsi="Wingdings 2" w:hint="default"/>
      </w:rPr>
    </w:lvl>
    <w:lvl w:ilvl="6" w:tplc="D85254B6" w:tentative="1">
      <w:start w:val="1"/>
      <w:numFmt w:val="bullet"/>
      <w:lvlText w:val=""/>
      <w:lvlJc w:val="left"/>
      <w:pPr>
        <w:tabs>
          <w:tab w:val="num" w:pos="5040"/>
        </w:tabs>
        <w:ind w:left="5040" w:hanging="360"/>
      </w:pPr>
      <w:rPr>
        <w:rFonts w:ascii="Wingdings 2" w:hAnsi="Wingdings 2" w:hint="default"/>
      </w:rPr>
    </w:lvl>
    <w:lvl w:ilvl="7" w:tplc="647C4054" w:tentative="1">
      <w:start w:val="1"/>
      <w:numFmt w:val="bullet"/>
      <w:lvlText w:val=""/>
      <w:lvlJc w:val="left"/>
      <w:pPr>
        <w:tabs>
          <w:tab w:val="num" w:pos="5760"/>
        </w:tabs>
        <w:ind w:left="5760" w:hanging="360"/>
      </w:pPr>
      <w:rPr>
        <w:rFonts w:ascii="Wingdings 2" w:hAnsi="Wingdings 2" w:hint="default"/>
      </w:rPr>
    </w:lvl>
    <w:lvl w:ilvl="8" w:tplc="54EC55E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B1592B"/>
    <w:multiLevelType w:val="hybridMultilevel"/>
    <w:tmpl w:val="32043378"/>
    <w:lvl w:ilvl="0" w:tplc="F11A1EBC">
      <w:start w:val="1"/>
      <w:numFmt w:val="bullet"/>
      <w:lvlText w:val=""/>
      <w:lvlJc w:val="left"/>
      <w:pPr>
        <w:tabs>
          <w:tab w:val="num" w:pos="720"/>
        </w:tabs>
        <w:ind w:left="720" w:hanging="360"/>
      </w:pPr>
      <w:rPr>
        <w:rFonts w:ascii="Wingdings 2" w:hAnsi="Wingdings 2" w:hint="default"/>
      </w:rPr>
    </w:lvl>
    <w:lvl w:ilvl="1" w:tplc="8CE6D3AE" w:tentative="1">
      <w:start w:val="1"/>
      <w:numFmt w:val="bullet"/>
      <w:lvlText w:val=""/>
      <w:lvlJc w:val="left"/>
      <w:pPr>
        <w:tabs>
          <w:tab w:val="num" w:pos="1440"/>
        </w:tabs>
        <w:ind w:left="1440" w:hanging="360"/>
      </w:pPr>
      <w:rPr>
        <w:rFonts w:ascii="Wingdings 2" w:hAnsi="Wingdings 2" w:hint="default"/>
      </w:rPr>
    </w:lvl>
    <w:lvl w:ilvl="2" w:tplc="707A6BB8" w:tentative="1">
      <w:start w:val="1"/>
      <w:numFmt w:val="bullet"/>
      <w:lvlText w:val=""/>
      <w:lvlJc w:val="left"/>
      <w:pPr>
        <w:tabs>
          <w:tab w:val="num" w:pos="2160"/>
        </w:tabs>
        <w:ind w:left="2160" w:hanging="360"/>
      </w:pPr>
      <w:rPr>
        <w:rFonts w:ascii="Wingdings 2" w:hAnsi="Wingdings 2" w:hint="default"/>
      </w:rPr>
    </w:lvl>
    <w:lvl w:ilvl="3" w:tplc="0A3298E2" w:tentative="1">
      <w:start w:val="1"/>
      <w:numFmt w:val="bullet"/>
      <w:lvlText w:val=""/>
      <w:lvlJc w:val="left"/>
      <w:pPr>
        <w:tabs>
          <w:tab w:val="num" w:pos="2880"/>
        </w:tabs>
        <w:ind w:left="2880" w:hanging="360"/>
      </w:pPr>
      <w:rPr>
        <w:rFonts w:ascii="Wingdings 2" w:hAnsi="Wingdings 2" w:hint="default"/>
      </w:rPr>
    </w:lvl>
    <w:lvl w:ilvl="4" w:tplc="8584A63C" w:tentative="1">
      <w:start w:val="1"/>
      <w:numFmt w:val="bullet"/>
      <w:lvlText w:val=""/>
      <w:lvlJc w:val="left"/>
      <w:pPr>
        <w:tabs>
          <w:tab w:val="num" w:pos="3600"/>
        </w:tabs>
        <w:ind w:left="3600" w:hanging="360"/>
      </w:pPr>
      <w:rPr>
        <w:rFonts w:ascii="Wingdings 2" w:hAnsi="Wingdings 2" w:hint="default"/>
      </w:rPr>
    </w:lvl>
    <w:lvl w:ilvl="5" w:tplc="E1CA9476" w:tentative="1">
      <w:start w:val="1"/>
      <w:numFmt w:val="bullet"/>
      <w:lvlText w:val=""/>
      <w:lvlJc w:val="left"/>
      <w:pPr>
        <w:tabs>
          <w:tab w:val="num" w:pos="4320"/>
        </w:tabs>
        <w:ind w:left="4320" w:hanging="360"/>
      </w:pPr>
      <w:rPr>
        <w:rFonts w:ascii="Wingdings 2" w:hAnsi="Wingdings 2" w:hint="default"/>
      </w:rPr>
    </w:lvl>
    <w:lvl w:ilvl="6" w:tplc="F01884AE" w:tentative="1">
      <w:start w:val="1"/>
      <w:numFmt w:val="bullet"/>
      <w:lvlText w:val=""/>
      <w:lvlJc w:val="left"/>
      <w:pPr>
        <w:tabs>
          <w:tab w:val="num" w:pos="5040"/>
        </w:tabs>
        <w:ind w:left="5040" w:hanging="360"/>
      </w:pPr>
      <w:rPr>
        <w:rFonts w:ascii="Wingdings 2" w:hAnsi="Wingdings 2" w:hint="default"/>
      </w:rPr>
    </w:lvl>
    <w:lvl w:ilvl="7" w:tplc="94C8449C" w:tentative="1">
      <w:start w:val="1"/>
      <w:numFmt w:val="bullet"/>
      <w:lvlText w:val=""/>
      <w:lvlJc w:val="left"/>
      <w:pPr>
        <w:tabs>
          <w:tab w:val="num" w:pos="5760"/>
        </w:tabs>
        <w:ind w:left="5760" w:hanging="360"/>
      </w:pPr>
      <w:rPr>
        <w:rFonts w:ascii="Wingdings 2" w:hAnsi="Wingdings 2" w:hint="default"/>
      </w:rPr>
    </w:lvl>
    <w:lvl w:ilvl="8" w:tplc="99A2487E"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7B713D"/>
    <w:multiLevelType w:val="hybridMultilevel"/>
    <w:tmpl w:val="0F5C95C0"/>
    <w:lvl w:ilvl="0" w:tplc="6AF22986">
      <w:start w:val="1"/>
      <w:numFmt w:val="bullet"/>
      <w:lvlText w:val=""/>
      <w:lvlJc w:val="left"/>
      <w:pPr>
        <w:tabs>
          <w:tab w:val="num" w:pos="720"/>
        </w:tabs>
        <w:ind w:left="720" w:hanging="360"/>
      </w:pPr>
      <w:rPr>
        <w:rFonts w:ascii="Wingdings 2" w:hAnsi="Wingdings 2" w:hint="default"/>
      </w:rPr>
    </w:lvl>
    <w:lvl w:ilvl="1" w:tplc="4F9C9480" w:tentative="1">
      <w:start w:val="1"/>
      <w:numFmt w:val="bullet"/>
      <w:lvlText w:val=""/>
      <w:lvlJc w:val="left"/>
      <w:pPr>
        <w:tabs>
          <w:tab w:val="num" w:pos="1440"/>
        </w:tabs>
        <w:ind w:left="1440" w:hanging="360"/>
      </w:pPr>
      <w:rPr>
        <w:rFonts w:ascii="Wingdings 2" w:hAnsi="Wingdings 2" w:hint="default"/>
      </w:rPr>
    </w:lvl>
    <w:lvl w:ilvl="2" w:tplc="69F42516" w:tentative="1">
      <w:start w:val="1"/>
      <w:numFmt w:val="bullet"/>
      <w:lvlText w:val=""/>
      <w:lvlJc w:val="left"/>
      <w:pPr>
        <w:tabs>
          <w:tab w:val="num" w:pos="2160"/>
        </w:tabs>
        <w:ind w:left="2160" w:hanging="360"/>
      </w:pPr>
      <w:rPr>
        <w:rFonts w:ascii="Wingdings 2" w:hAnsi="Wingdings 2" w:hint="default"/>
      </w:rPr>
    </w:lvl>
    <w:lvl w:ilvl="3" w:tplc="2C66C942" w:tentative="1">
      <w:start w:val="1"/>
      <w:numFmt w:val="bullet"/>
      <w:lvlText w:val=""/>
      <w:lvlJc w:val="left"/>
      <w:pPr>
        <w:tabs>
          <w:tab w:val="num" w:pos="2880"/>
        </w:tabs>
        <w:ind w:left="2880" w:hanging="360"/>
      </w:pPr>
      <w:rPr>
        <w:rFonts w:ascii="Wingdings 2" w:hAnsi="Wingdings 2" w:hint="default"/>
      </w:rPr>
    </w:lvl>
    <w:lvl w:ilvl="4" w:tplc="5CDA82D8" w:tentative="1">
      <w:start w:val="1"/>
      <w:numFmt w:val="bullet"/>
      <w:lvlText w:val=""/>
      <w:lvlJc w:val="left"/>
      <w:pPr>
        <w:tabs>
          <w:tab w:val="num" w:pos="3600"/>
        </w:tabs>
        <w:ind w:left="3600" w:hanging="360"/>
      </w:pPr>
      <w:rPr>
        <w:rFonts w:ascii="Wingdings 2" w:hAnsi="Wingdings 2" w:hint="default"/>
      </w:rPr>
    </w:lvl>
    <w:lvl w:ilvl="5" w:tplc="0EE2391A" w:tentative="1">
      <w:start w:val="1"/>
      <w:numFmt w:val="bullet"/>
      <w:lvlText w:val=""/>
      <w:lvlJc w:val="left"/>
      <w:pPr>
        <w:tabs>
          <w:tab w:val="num" w:pos="4320"/>
        </w:tabs>
        <w:ind w:left="4320" w:hanging="360"/>
      </w:pPr>
      <w:rPr>
        <w:rFonts w:ascii="Wingdings 2" w:hAnsi="Wingdings 2" w:hint="default"/>
      </w:rPr>
    </w:lvl>
    <w:lvl w:ilvl="6" w:tplc="F79C9F54" w:tentative="1">
      <w:start w:val="1"/>
      <w:numFmt w:val="bullet"/>
      <w:lvlText w:val=""/>
      <w:lvlJc w:val="left"/>
      <w:pPr>
        <w:tabs>
          <w:tab w:val="num" w:pos="5040"/>
        </w:tabs>
        <w:ind w:left="5040" w:hanging="360"/>
      </w:pPr>
      <w:rPr>
        <w:rFonts w:ascii="Wingdings 2" w:hAnsi="Wingdings 2" w:hint="default"/>
      </w:rPr>
    </w:lvl>
    <w:lvl w:ilvl="7" w:tplc="F0C8A950" w:tentative="1">
      <w:start w:val="1"/>
      <w:numFmt w:val="bullet"/>
      <w:lvlText w:val=""/>
      <w:lvlJc w:val="left"/>
      <w:pPr>
        <w:tabs>
          <w:tab w:val="num" w:pos="5760"/>
        </w:tabs>
        <w:ind w:left="5760" w:hanging="360"/>
      </w:pPr>
      <w:rPr>
        <w:rFonts w:ascii="Wingdings 2" w:hAnsi="Wingdings 2" w:hint="default"/>
      </w:rPr>
    </w:lvl>
    <w:lvl w:ilvl="8" w:tplc="D04E00B0"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FB26D9"/>
    <w:multiLevelType w:val="hybridMultilevel"/>
    <w:tmpl w:val="1C2E7480"/>
    <w:lvl w:ilvl="0" w:tplc="D598B568">
      <w:start w:val="1"/>
      <w:numFmt w:val="bullet"/>
      <w:lvlText w:val=""/>
      <w:lvlJc w:val="left"/>
      <w:pPr>
        <w:tabs>
          <w:tab w:val="num" w:pos="720"/>
        </w:tabs>
        <w:ind w:left="720" w:hanging="360"/>
      </w:pPr>
      <w:rPr>
        <w:rFonts w:ascii="Wingdings 2" w:hAnsi="Wingdings 2" w:hint="default"/>
      </w:rPr>
    </w:lvl>
    <w:lvl w:ilvl="1" w:tplc="D74AACA0" w:tentative="1">
      <w:start w:val="1"/>
      <w:numFmt w:val="bullet"/>
      <w:lvlText w:val=""/>
      <w:lvlJc w:val="left"/>
      <w:pPr>
        <w:tabs>
          <w:tab w:val="num" w:pos="1440"/>
        </w:tabs>
        <w:ind w:left="1440" w:hanging="360"/>
      </w:pPr>
      <w:rPr>
        <w:rFonts w:ascii="Wingdings 2" w:hAnsi="Wingdings 2" w:hint="default"/>
      </w:rPr>
    </w:lvl>
    <w:lvl w:ilvl="2" w:tplc="0778C3AC" w:tentative="1">
      <w:start w:val="1"/>
      <w:numFmt w:val="bullet"/>
      <w:lvlText w:val=""/>
      <w:lvlJc w:val="left"/>
      <w:pPr>
        <w:tabs>
          <w:tab w:val="num" w:pos="2160"/>
        </w:tabs>
        <w:ind w:left="2160" w:hanging="360"/>
      </w:pPr>
      <w:rPr>
        <w:rFonts w:ascii="Wingdings 2" w:hAnsi="Wingdings 2" w:hint="default"/>
      </w:rPr>
    </w:lvl>
    <w:lvl w:ilvl="3" w:tplc="4AFE8756" w:tentative="1">
      <w:start w:val="1"/>
      <w:numFmt w:val="bullet"/>
      <w:lvlText w:val=""/>
      <w:lvlJc w:val="left"/>
      <w:pPr>
        <w:tabs>
          <w:tab w:val="num" w:pos="2880"/>
        </w:tabs>
        <w:ind w:left="2880" w:hanging="360"/>
      </w:pPr>
      <w:rPr>
        <w:rFonts w:ascii="Wingdings 2" w:hAnsi="Wingdings 2" w:hint="default"/>
      </w:rPr>
    </w:lvl>
    <w:lvl w:ilvl="4" w:tplc="79D2D0CC" w:tentative="1">
      <w:start w:val="1"/>
      <w:numFmt w:val="bullet"/>
      <w:lvlText w:val=""/>
      <w:lvlJc w:val="left"/>
      <w:pPr>
        <w:tabs>
          <w:tab w:val="num" w:pos="3600"/>
        </w:tabs>
        <w:ind w:left="3600" w:hanging="360"/>
      </w:pPr>
      <w:rPr>
        <w:rFonts w:ascii="Wingdings 2" w:hAnsi="Wingdings 2" w:hint="default"/>
      </w:rPr>
    </w:lvl>
    <w:lvl w:ilvl="5" w:tplc="A320B0FE" w:tentative="1">
      <w:start w:val="1"/>
      <w:numFmt w:val="bullet"/>
      <w:lvlText w:val=""/>
      <w:lvlJc w:val="left"/>
      <w:pPr>
        <w:tabs>
          <w:tab w:val="num" w:pos="4320"/>
        </w:tabs>
        <w:ind w:left="4320" w:hanging="360"/>
      </w:pPr>
      <w:rPr>
        <w:rFonts w:ascii="Wingdings 2" w:hAnsi="Wingdings 2" w:hint="default"/>
      </w:rPr>
    </w:lvl>
    <w:lvl w:ilvl="6" w:tplc="B038C5E4" w:tentative="1">
      <w:start w:val="1"/>
      <w:numFmt w:val="bullet"/>
      <w:lvlText w:val=""/>
      <w:lvlJc w:val="left"/>
      <w:pPr>
        <w:tabs>
          <w:tab w:val="num" w:pos="5040"/>
        </w:tabs>
        <w:ind w:left="5040" w:hanging="360"/>
      </w:pPr>
      <w:rPr>
        <w:rFonts w:ascii="Wingdings 2" w:hAnsi="Wingdings 2" w:hint="default"/>
      </w:rPr>
    </w:lvl>
    <w:lvl w:ilvl="7" w:tplc="70B44246" w:tentative="1">
      <w:start w:val="1"/>
      <w:numFmt w:val="bullet"/>
      <w:lvlText w:val=""/>
      <w:lvlJc w:val="left"/>
      <w:pPr>
        <w:tabs>
          <w:tab w:val="num" w:pos="5760"/>
        </w:tabs>
        <w:ind w:left="5760" w:hanging="360"/>
      </w:pPr>
      <w:rPr>
        <w:rFonts w:ascii="Wingdings 2" w:hAnsi="Wingdings 2" w:hint="default"/>
      </w:rPr>
    </w:lvl>
    <w:lvl w:ilvl="8" w:tplc="CD561B7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11"/>
  </w:num>
  <w:num w:numId="43">
    <w:abstractNumId w:val="33"/>
  </w:num>
  <w:num w:numId="44">
    <w:abstractNumId w:val="1"/>
  </w:num>
  <w:num w:numId="45">
    <w:abstractNumId w:val="43"/>
  </w:num>
  <w:num w:numId="46">
    <w:abstractNumId w:val="25"/>
  </w:num>
  <w:num w:numId="47">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4B7F"/>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838"/>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15F5"/>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7AA"/>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25C"/>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7471696">
      <w:bodyDiv w:val="1"/>
      <w:marLeft w:val="0"/>
      <w:marRight w:val="0"/>
      <w:marTop w:val="0"/>
      <w:marBottom w:val="0"/>
      <w:divBdr>
        <w:top w:val="none" w:sz="0" w:space="0" w:color="auto"/>
        <w:left w:val="none" w:sz="0" w:space="0" w:color="auto"/>
        <w:bottom w:val="none" w:sz="0" w:space="0" w:color="auto"/>
        <w:right w:val="none" w:sz="0" w:space="0" w:color="auto"/>
      </w:divBdr>
      <w:divsChild>
        <w:div w:id="140387826">
          <w:marLeft w:val="576"/>
          <w:marRight w:val="0"/>
          <w:marTop w:val="120"/>
          <w:marBottom w:val="0"/>
          <w:divBdr>
            <w:top w:val="none" w:sz="0" w:space="0" w:color="auto"/>
            <w:left w:val="none" w:sz="0" w:space="0" w:color="auto"/>
            <w:bottom w:val="none" w:sz="0" w:space="0" w:color="auto"/>
            <w:right w:val="none" w:sz="0" w:space="0" w:color="auto"/>
          </w:divBdr>
        </w:div>
        <w:div w:id="968125840">
          <w:marLeft w:val="576"/>
          <w:marRight w:val="0"/>
          <w:marTop w:val="120"/>
          <w:marBottom w:val="0"/>
          <w:divBdr>
            <w:top w:val="none" w:sz="0" w:space="0" w:color="auto"/>
            <w:left w:val="none" w:sz="0" w:space="0" w:color="auto"/>
            <w:bottom w:val="none" w:sz="0" w:space="0" w:color="auto"/>
            <w:right w:val="none" w:sz="0" w:space="0" w:color="auto"/>
          </w:divBdr>
        </w:div>
        <w:div w:id="1413577553">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589801">
      <w:bodyDiv w:val="1"/>
      <w:marLeft w:val="0"/>
      <w:marRight w:val="0"/>
      <w:marTop w:val="0"/>
      <w:marBottom w:val="0"/>
      <w:divBdr>
        <w:top w:val="none" w:sz="0" w:space="0" w:color="auto"/>
        <w:left w:val="none" w:sz="0" w:space="0" w:color="auto"/>
        <w:bottom w:val="none" w:sz="0" w:space="0" w:color="auto"/>
        <w:right w:val="none" w:sz="0" w:space="0" w:color="auto"/>
      </w:divBdr>
      <w:divsChild>
        <w:div w:id="971902164">
          <w:marLeft w:val="576"/>
          <w:marRight w:val="0"/>
          <w:marTop w:val="120"/>
          <w:marBottom w:val="0"/>
          <w:divBdr>
            <w:top w:val="none" w:sz="0" w:space="0" w:color="auto"/>
            <w:left w:val="none" w:sz="0" w:space="0" w:color="auto"/>
            <w:bottom w:val="none" w:sz="0" w:space="0" w:color="auto"/>
            <w:right w:val="none" w:sz="0" w:space="0" w:color="auto"/>
          </w:divBdr>
        </w:div>
        <w:div w:id="455489959">
          <w:marLeft w:val="576"/>
          <w:marRight w:val="0"/>
          <w:marTop w:val="120"/>
          <w:marBottom w:val="0"/>
          <w:divBdr>
            <w:top w:val="none" w:sz="0" w:space="0" w:color="auto"/>
            <w:left w:val="none" w:sz="0" w:space="0" w:color="auto"/>
            <w:bottom w:val="none" w:sz="0" w:space="0" w:color="auto"/>
            <w:right w:val="none" w:sz="0" w:space="0" w:color="auto"/>
          </w:divBdr>
        </w:div>
        <w:div w:id="1605991253">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9914026">
      <w:bodyDiv w:val="1"/>
      <w:marLeft w:val="0"/>
      <w:marRight w:val="0"/>
      <w:marTop w:val="0"/>
      <w:marBottom w:val="0"/>
      <w:divBdr>
        <w:top w:val="none" w:sz="0" w:space="0" w:color="auto"/>
        <w:left w:val="none" w:sz="0" w:space="0" w:color="auto"/>
        <w:bottom w:val="none" w:sz="0" w:space="0" w:color="auto"/>
        <w:right w:val="none" w:sz="0" w:space="0" w:color="auto"/>
      </w:divBdr>
      <w:divsChild>
        <w:div w:id="1902405980">
          <w:marLeft w:val="576"/>
          <w:marRight w:val="0"/>
          <w:marTop w:val="120"/>
          <w:marBottom w:val="0"/>
          <w:divBdr>
            <w:top w:val="none" w:sz="0" w:space="0" w:color="auto"/>
            <w:left w:val="none" w:sz="0" w:space="0" w:color="auto"/>
            <w:bottom w:val="none" w:sz="0" w:space="0" w:color="auto"/>
            <w:right w:val="none" w:sz="0" w:space="0" w:color="auto"/>
          </w:divBdr>
        </w:div>
        <w:div w:id="356736972">
          <w:marLeft w:val="576"/>
          <w:marRight w:val="0"/>
          <w:marTop w:val="120"/>
          <w:marBottom w:val="0"/>
          <w:divBdr>
            <w:top w:val="none" w:sz="0" w:space="0" w:color="auto"/>
            <w:left w:val="none" w:sz="0" w:space="0" w:color="auto"/>
            <w:bottom w:val="none" w:sz="0" w:space="0" w:color="auto"/>
            <w:right w:val="none" w:sz="0" w:space="0" w:color="auto"/>
          </w:divBdr>
        </w:div>
        <w:div w:id="107566192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2466873">
      <w:bodyDiv w:val="1"/>
      <w:marLeft w:val="0"/>
      <w:marRight w:val="0"/>
      <w:marTop w:val="0"/>
      <w:marBottom w:val="0"/>
      <w:divBdr>
        <w:top w:val="none" w:sz="0" w:space="0" w:color="auto"/>
        <w:left w:val="none" w:sz="0" w:space="0" w:color="auto"/>
        <w:bottom w:val="none" w:sz="0" w:space="0" w:color="auto"/>
        <w:right w:val="none" w:sz="0" w:space="0" w:color="auto"/>
      </w:divBdr>
    </w:div>
    <w:div w:id="1375348688">
      <w:bodyDiv w:val="1"/>
      <w:marLeft w:val="0"/>
      <w:marRight w:val="0"/>
      <w:marTop w:val="0"/>
      <w:marBottom w:val="0"/>
      <w:divBdr>
        <w:top w:val="none" w:sz="0" w:space="0" w:color="auto"/>
        <w:left w:val="none" w:sz="0" w:space="0" w:color="auto"/>
        <w:bottom w:val="none" w:sz="0" w:space="0" w:color="auto"/>
        <w:right w:val="none" w:sz="0" w:space="0" w:color="auto"/>
      </w:divBdr>
      <w:divsChild>
        <w:div w:id="1112629358">
          <w:marLeft w:val="576"/>
          <w:marRight w:val="0"/>
          <w:marTop w:val="120"/>
          <w:marBottom w:val="0"/>
          <w:divBdr>
            <w:top w:val="none" w:sz="0" w:space="0" w:color="auto"/>
            <w:left w:val="none" w:sz="0" w:space="0" w:color="auto"/>
            <w:bottom w:val="none" w:sz="0" w:space="0" w:color="auto"/>
            <w:right w:val="none" w:sz="0" w:space="0" w:color="auto"/>
          </w:divBdr>
        </w:div>
        <w:div w:id="222956726">
          <w:marLeft w:val="576"/>
          <w:marRight w:val="0"/>
          <w:marTop w:val="120"/>
          <w:marBottom w:val="0"/>
          <w:divBdr>
            <w:top w:val="none" w:sz="0" w:space="0" w:color="auto"/>
            <w:left w:val="none" w:sz="0" w:space="0" w:color="auto"/>
            <w:bottom w:val="none" w:sz="0" w:space="0" w:color="auto"/>
            <w:right w:val="none" w:sz="0" w:space="0" w:color="auto"/>
          </w:divBdr>
        </w:div>
        <w:div w:id="457919474">
          <w:marLeft w:val="576"/>
          <w:marRight w:val="0"/>
          <w:marTop w:val="120"/>
          <w:marBottom w:val="0"/>
          <w:divBdr>
            <w:top w:val="none" w:sz="0" w:space="0" w:color="auto"/>
            <w:left w:val="none" w:sz="0" w:space="0" w:color="auto"/>
            <w:bottom w:val="none" w:sz="0" w:space="0" w:color="auto"/>
            <w:right w:val="none" w:sz="0" w:space="0" w:color="auto"/>
          </w:divBdr>
        </w:div>
        <w:div w:id="451482372">
          <w:marLeft w:val="576"/>
          <w:marRight w:val="0"/>
          <w:marTop w:val="120"/>
          <w:marBottom w:val="0"/>
          <w:divBdr>
            <w:top w:val="none" w:sz="0" w:space="0" w:color="auto"/>
            <w:left w:val="none" w:sz="0" w:space="0" w:color="auto"/>
            <w:bottom w:val="none" w:sz="0" w:space="0" w:color="auto"/>
            <w:right w:val="none" w:sz="0" w:space="0" w:color="auto"/>
          </w:divBdr>
        </w:div>
        <w:div w:id="45306462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4272219">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6485982">
      <w:bodyDiv w:val="1"/>
      <w:marLeft w:val="0"/>
      <w:marRight w:val="0"/>
      <w:marTop w:val="0"/>
      <w:marBottom w:val="0"/>
      <w:divBdr>
        <w:top w:val="none" w:sz="0" w:space="0" w:color="auto"/>
        <w:left w:val="none" w:sz="0" w:space="0" w:color="auto"/>
        <w:bottom w:val="none" w:sz="0" w:space="0" w:color="auto"/>
        <w:right w:val="none" w:sz="0" w:space="0" w:color="auto"/>
      </w:divBdr>
      <w:divsChild>
        <w:div w:id="580799396">
          <w:marLeft w:val="576"/>
          <w:marRight w:val="0"/>
          <w:marTop w:val="120"/>
          <w:marBottom w:val="0"/>
          <w:divBdr>
            <w:top w:val="none" w:sz="0" w:space="0" w:color="auto"/>
            <w:left w:val="none" w:sz="0" w:space="0" w:color="auto"/>
            <w:bottom w:val="none" w:sz="0" w:space="0" w:color="auto"/>
            <w:right w:val="none" w:sz="0" w:space="0" w:color="auto"/>
          </w:divBdr>
        </w:div>
        <w:div w:id="199953006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840048">
      <w:bodyDiv w:val="1"/>
      <w:marLeft w:val="0"/>
      <w:marRight w:val="0"/>
      <w:marTop w:val="0"/>
      <w:marBottom w:val="0"/>
      <w:divBdr>
        <w:top w:val="none" w:sz="0" w:space="0" w:color="auto"/>
        <w:left w:val="none" w:sz="0" w:space="0" w:color="auto"/>
        <w:bottom w:val="none" w:sz="0" w:space="0" w:color="auto"/>
        <w:right w:val="none" w:sz="0" w:space="0" w:color="auto"/>
      </w:divBdr>
      <w:divsChild>
        <w:div w:id="818495339">
          <w:marLeft w:val="576"/>
          <w:marRight w:val="0"/>
          <w:marTop w:val="120"/>
          <w:marBottom w:val="0"/>
          <w:divBdr>
            <w:top w:val="none" w:sz="0" w:space="0" w:color="auto"/>
            <w:left w:val="none" w:sz="0" w:space="0" w:color="auto"/>
            <w:bottom w:val="none" w:sz="0" w:space="0" w:color="auto"/>
            <w:right w:val="none" w:sz="0" w:space="0" w:color="auto"/>
          </w:divBdr>
        </w:div>
        <w:div w:id="395786837">
          <w:marLeft w:val="576"/>
          <w:marRight w:val="0"/>
          <w:marTop w:val="120"/>
          <w:marBottom w:val="0"/>
          <w:divBdr>
            <w:top w:val="none" w:sz="0" w:space="0" w:color="auto"/>
            <w:left w:val="none" w:sz="0" w:space="0" w:color="auto"/>
            <w:bottom w:val="none" w:sz="0" w:space="0" w:color="auto"/>
            <w:right w:val="none" w:sz="0" w:space="0" w:color="auto"/>
          </w:divBdr>
        </w:div>
        <w:div w:id="1743093419">
          <w:marLeft w:val="576"/>
          <w:marRight w:val="0"/>
          <w:marTop w:val="120"/>
          <w:marBottom w:val="0"/>
          <w:divBdr>
            <w:top w:val="none" w:sz="0" w:space="0" w:color="auto"/>
            <w:left w:val="none" w:sz="0" w:space="0" w:color="auto"/>
            <w:bottom w:val="none" w:sz="0" w:space="0" w:color="auto"/>
            <w:right w:val="none" w:sz="0" w:space="0" w:color="auto"/>
          </w:divBdr>
        </w:div>
        <w:div w:id="394620520">
          <w:marLeft w:val="576"/>
          <w:marRight w:val="0"/>
          <w:marTop w:val="120"/>
          <w:marBottom w:val="0"/>
          <w:divBdr>
            <w:top w:val="none" w:sz="0" w:space="0" w:color="auto"/>
            <w:left w:val="none" w:sz="0" w:space="0" w:color="auto"/>
            <w:bottom w:val="none" w:sz="0" w:space="0" w:color="auto"/>
            <w:right w:val="none" w:sz="0" w:space="0" w:color="auto"/>
          </w:divBdr>
        </w:div>
        <w:div w:id="64651433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14</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2021-05-21T15:00:00Z</dcterms:modified>
</cp:coreProperties>
</file>