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386943" w:rsidRDefault="00386943" w:rsidP="00386943">
      <w:pPr>
        <w:spacing w:line="360" w:lineRule="auto"/>
        <w:jc w:val="center"/>
        <w:rPr>
          <w:rFonts w:ascii="Times New Roman" w:hAnsi="Times New Roman" w:cs="Times New Roman"/>
          <w:b/>
          <w:sz w:val="44"/>
          <w:szCs w:val="44"/>
        </w:rPr>
      </w:pPr>
      <w:r w:rsidRPr="00386943">
        <w:rPr>
          <w:rFonts w:ascii="Times New Roman" w:hAnsi="Times New Roman" w:cs="Times New Roman"/>
          <w:b/>
          <w:sz w:val="44"/>
          <w:szCs w:val="44"/>
        </w:rPr>
        <w:t>A Comparative Study on the Impact of One-way and Two-way Matching Strategies on the Evolution of Cloud Manufacturing Ecosystems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86943" w:rsidRDefault="00386943" w:rsidP="00E53AA4">
      <w:pPr>
        <w:spacing w:line="360" w:lineRule="auto"/>
        <w:jc w:val="both"/>
        <w:rPr>
          <w:rFonts w:ascii="Times New Roman" w:hAnsi="Times New Roman" w:cs="Times New Roman"/>
          <w:b/>
          <w:sz w:val="44"/>
          <w:szCs w:val="44"/>
        </w:rPr>
      </w:pPr>
    </w:p>
    <w:p w:rsidR="00386943" w:rsidRDefault="003869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86943" w:rsidRPr="00386943" w:rsidRDefault="00386943" w:rsidP="00386943">
      <w:pPr>
        <w:spacing w:line="360" w:lineRule="auto"/>
        <w:jc w:val="both"/>
        <w:rPr>
          <w:rFonts w:ascii="Times New Roman" w:hAnsi="Times New Roman" w:cs="Times New Roman"/>
          <w:bCs/>
          <w:sz w:val="32"/>
          <w:szCs w:val="32"/>
          <w:lang w:val="en-IN"/>
        </w:rPr>
      </w:pPr>
      <w:r w:rsidRPr="00386943">
        <w:rPr>
          <w:rFonts w:ascii="Times New Roman" w:hAnsi="Times New Roman" w:cs="Times New Roman"/>
          <w:bCs/>
          <w:sz w:val="32"/>
          <w:szCs w:val="32"/>
          <w:lang w:val="en-IN"/>
        </w:rPr>
        <w:t xml:space="preserve">     The supply-demand matching (SDM) strategy is an important part of the transaction mechanism design of cloud manufacturing (CMfg) platforms, which has a significant impact on the evolution trend of cloud manufacturing ecosystems (CMEs). To help CMfg platform operators choose the appropriate SDM strategy, first, the evolution process of the CME was qualitatively analyzed, and the evolution process was divided into three stages: the germination period, the growth period and the stable period. Then, three types of market agent behavior models, service demanders (SDs), service providers (SPs) and platform operators (POs), were established, and a multiagent behavior simulation experiment was conducted. </w:t>
      </w:r>
    </w:p>
    <w:p w:rsidR="00845895" w:rsidRPr="00386943" w:rsidRDefault="00386943" w:rsidP="00E53AA4">
      <w:pPr>
        <w:spacing w:line="360" w:lineRule="auto"/>
        <w:jc w:val="both"/>
        <w:rPr>
          <w:rFonts w:ascii="Times New Roman" w:hAnsi="Times New Roman" w:cs="Times New Roman"/>
          <w:bCs/>
          <w:sz w:val="32"/>
          <w:szCs w:val="32"/>
          <w:lang w:val="en-IN"/>
        </w:rPr>
      </w:pPr>
      <w:r w:rsidRPr="00386943">
        <w:rPr>
          <w:rFonts w:ascii="Times New Roman" w:hAnsi="Times New Roman" w:cs="Times New Roman"/>
          <w:bCs/>
          <w:sz w:val="32"/>
          <w:szCs w:val="32"/>
          <w:lang w:val="en-IN"/>
        </w:rPr>
        <w:t xml:space="preserve">    Finally, the evolution of CMEs with one-way and two-way SDM strategies for POs was compared and analyzed from three aspects: the overall utilization rate of SPs, the diversity of CMEs and the total output of CMEs. Simulation experiments show that, compared with the CME that adopts the one-way SDM strategy, the CME that adopts the two-way SDM strategy is approximately 33% faster to reach ecological balance, the overall utilization rate is approximately 98.7% higher, the diversity is approximately 6% higher, and the total output is approximately 91% higher. The two-way SDM strategy that comprehensively considers the respective preferences of SDs and SPs is more conducive to the healthy development of CMEs. </w:t>
      </w:r>
    </w:p>
    <w:p w:rsidR="006A300A" w:rsidRPr="00386943" w:rsidRDefault="00491919" w:rsidP="0038694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6943" w:rsidRDefault="00094E85" w:rsidP="0038694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6943">
        <w:rPr>
          <w:rFonts w:ascii="Times New Roman" w:hAnsi="Times New Roman" w:cs="Times New Roman"/>
          <w:sz w:val="32"/>
          <w:szCs w:val="32"/>
          <w:lang w:val="en-IN"/>
        </w:rPr>
        <w:t>Existing research articles in this area also present some system architectures for the development of cloud manufacturing p</w:t>
      </w:r>
      <w:r w:rsidRPr="00386943">
        <w:rPr>
          <w:rFonts w:ascii="Times New Roman" w:hAnsi="Times New Roman" w:cs="Times New Roman"/>
          <w:sz w:val="32"/>
          <w:szCs w:val="32"/>
          <w:lang w:val="en-IN"/>
        </w:rPr>
        <w:t xml:space="preserve">latforms. </w:t>
      </w:r>
    </w:p>
    <w:p w:rsidR="00000000" w:rsidRPr="00386943" w:rsidRDefault="00094E85" w:rsidP="0038694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6943">
        <w:rPr>
          <w:rFonts w:ascii="Times New Roman" w:hAnsi="Times New Roman" w:cs="Times New Roman"/>
          <w:sz w:val="32"/>
          <w:szCs w:val="32"/>
          <w:lang w:val="en-IN"/>
        </w:rPr>
        <w:t xml:space="preserve">we can find the virtual resource pool in most of the existing systems; however, it is still not clear that what specific functions the pool should have, as well as what the mechanisms of virtualisation and servitisation should be. </w:t>
      </w:r>
    </w:p>
    <w:p w:rsidR="00000000" w:rsidRPr="00386943" w:rsidRDefault="00094E85" w:rsidP="0038694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86943">
        <w:rPr>
          <w:rFonts w:ascii="Times New Roman" w:hAnsi="Times New Roman" w:cs="Times New Roman"/>
          <w:sz w:val="32"/>
          <w:szCs w:val="32"/>
          <w:lang w:val="en-IN"/>
        </w:rPr>
        <w:t>From a syst</w:t>
      </w:r>
      <w:r w:rsidRPr="00386943">
        <w:rPr>
          <w:rFonts w:ascii="Times New Roman" w:hAnsi="Times New Roman" w:cs="Times New Roman"/>
          <w:sz w:val="32"/>
          <w:szCs w:val="32"/>
          <w:lang w:val="en-IN"/>
        </w:rPr>
        <w:t xml:space="preserve">em implementation perspective, the relationships between physical resource, virtual resource, capability and services need to be clarified. But a few studies on such relationships have been conducted. In fact, most current architecture solutions are quite </w:t>
      </w:r>
      <w:r w:rsidRPr="00386943">
        <w:rPr>
          <w:rFonts w:ascii="Times New Roman" w:hAnsi="Times New Roman" w:cs="Times New Roman"/>
          <w:sz w:val="32"/>
          <w:szCs w:val="32"/>
          <w:lang w:val="en-IN"/>
        </w:rPr>
        <w:t>high level, and still lack details that can be referential for application design and development.</w:t>
      </w:r>
      <w:r w:rsidRPr="0038694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86943" w:rsidRDefault="00094E85" w:rsidP="00386943">
      <w:pPr>
        <w:numPr>
          <w:ilvl w:val="0"/>
          <w:numId w:val="43"/>
        </w:numPr>
        <w:spacing w:line="360" w:lineRule="auto"/>
        <w:jc w:val="both"/>
        <w:rPr>
          <w:rFonts w:ascii="Times New Roman" w:hAnsi="Times New Roman" w:cs="Times New Roman"/>
          <w:bCs/>
          <w:sz w:val="32"/>
          <w:szCs w:val="32"/>
          <w:lang w:val="en-IN"/>
        </w:rPr>
      </w:pPr>
      <w:r w:rsidRPr="00386943">
        <w:rPr>
          <w:rFonts w:ascii="Times New Roman" w:hAnsi="Times New Roman" w:cs="Times New Roman"/>
          <w:bCs/>
          <w:sz w:val="32"/>
          <w:szCs w:val="32"/>
          <w:lang w:val="en-IN"/>
        </w:rPr>
        <w:t xml:space="preserve">In terms of SDM strategies, Argoneto et al. formulated the problem of capacity sharing for a set of independent firms as a cooperative game and identified </w:t>
      </w:r>
      <w:r w:rsidRPr="00386943">
        <w:rPr>
          <w:rFonts w:ascii="Times New Roman" w:hAnsi="Times New Roman" w:cs="Times New Roman"/>
          <w:bCs/>
          <w:sz w:val="32"/>
          <w:szCs w:val="32"/>
          <w:lang w:val="en-IN"/>
        </w:rPr>
        <w:t>a capacity sharing solution using the Gale–Shapley model.</w:t>
      </w:r>
    </w:p>
    <w:p w:rsidR="00000000" w:rsidRPr="00386943" w:rsidRDefault="00094E85" w:rsidP="00386943">
      <w:pPr>
        <w:numPr>
          <w:ilvl w:val="0"/>
          <w:numId w:val="43"/>
        </w:numPr>
        <w:spacing w:line="360" w:lineRule="auto"/>
        <w:jc w:val="both"/>
        <w:rPr>
          <w:rFonts w:ascii="Times New Roman" w:hAnsi="Times New Roman" w:cs="Times New Roman"/>
          <w:b/>
          <w:sz w:val="36"/>
          <w:szCs w:val="36"/>
          <w:lang w:val="en-IN"/>
        </w:rPr>
      </w:pPr>
      <w:r w:rsidRPr="00386943">
        <w:rPr>
          <w:rFonts w:ascii="Times New Roman" w:hAnsi="Times New Roman" w:cs="Times New Roman"/>
          <w:bCs/>
          <w:sz w:val="32"/>
          <w:szCs w:val="32"/>
          <w:lang w:val="en-IN"/>
        </w:rPr>
        <w:t>Joseph and Jitesh formulated the resource allocation problem as a bipartite matching problem and analyzed four bipartite matching mechanisms, namely, deferred acceptance (DA), top trading cycle (TT</w:t>
      </w:r>
      <w:r w:rsidRPr="00386943">
        <w:rPr>
          <w:rFonts w:ascii="Times New Roman" w:hAnsi="Times New Roman" w:cs="Times New Roman"/>
          <w:bCs/>
          <w:sz w:val="32"/>
          <w:szCs w:val="32"/>
          <w:lang w:val="en-IN"/>
        </w:rPr>
        <w:t xml:space="preserve">C), Munkres, and FCFS, with respect to the desired properties </w:t>
      </w:r>
      <w:r w:rsidRPr="00386943">
        <w:rPr>
          <w:rFonts w:ascii="Times New Roman" w:hAnsi="Times New Roman" w:cs="Times New Roman"/>
          <w:bCs/>
          <w:sz w:val="32"/>
          <w:szCs w:val="32"/>
          <w:lang w:val="en-IN"/>
        </w:rPr>
        <w:lastRenderedPageBreak/>
        <w:t>of the mechanisms, such as individual rationality, stability, strategy proofness, consistency, monotonicity and Pareto efficiency</w:t>
      </w:r>
      <w:r w:rsidRPr="00386943">
        <w:rPr>
          <w:rFonts w:ascii="Times New Roman" w:hAnsi="Times New Roman" w:cs="Times New Roman"/>
          <w:b/>
          <w:sz w:val="36"/>
          <w:szCs w:val="36"/>
        </w:rPr>
        <w:t xml:space="preserve"> </w:t>
      </w:r>
    </w:p>
    <w:p w:rsidR="000B33B0" w:rsidRPr="00386943" w:rsidRDefault="006A300A" w:rsidP="00386943">
      <w:pPr>
        <w:spacing w:line="360" w:lineRule="auto"/>
        <w:jc w:val="both"/>
        <w:rPr>
          <w:rFonts w:ascii="Times New Roman" w:eastAsia="Times New Roman" w:hAnsi="Times New Roman" w:cs="Times New Roman"/>
          <w:sz w:val="32"/>
          <w:szCs w:val="32"/>
        </w:rPr>
      </w:pPr>
      <w:r w:rsidRPr="00386943">
        <w:rPr>
          <w:rFonts w:ascii="Times New Roman" w:hAnsi="Times New Roman" w:cs="Times New Roman"/>
          <w:b/>
          <w:sz w:val="36"/>
          <w:szCs w:val="36"/>
        </w:rPr>
        <w:t xml:space="preserve">2.2. PROPOSED </w:t>
      </w:r>
      <w:r w:rsidR="000B33B0" w:rsidRPr="00386943">
        <w:rPr>
          <w:rFonts w:ascii="Times New Roman" w:hAnsi="Times New Roman" w:cs="Times New Roman"/>
          <w:b/>
          <w:sz w:val="36"/>
          <w:szCs w:val="36"/>
        </w:rPr>
        <w:t xml:space="preserve">SYSTEM </w:t>
      </w:r>
    </w:p>
    <w:p w:rsidR="00386943" w:rsidRPr="00386943" w:rsidRDefault="00386943" w:rsidP="00386943">
      <w:pPr>
        <w:pStyle w:val="NormalWeb"/>
        <w:numPr>
          <w:ilvl w:val="0"/>
          <w:numId w:val="44"/>
        </w:numPr>
        <w:spacing w:before="0" w:beforeAutospacing="0" w:after="0" w:afterAutospacing="0" w:line="360" w:lineRule="auto"/>
        <w:jc w:val="both"/>
        <w:rPr>
          <w:sz w:val="32"/>
          <w:szCs w:val="32"/>
        </w:rPr>
      </w:pPr>
      <w:r w:rsidRPr="00386943">
        <w:rPr>
          <w:sz w:val="32"/>
          <w:szCs w:val="32"/>
        </w:rPr>
        <w:t>In this paper, we review some of the research work and clarify some fundamental terminologies in this field.</w:t>
      </w:r>
    </w:p>
    <w:p w:rsidR="00386943" w:rsidRPr="00386943" w:rsidRDefault="00386943" w:rsidP="00386943">
      <w:pPr>
        <w:pStyle w:val="NormalWeb"/>
        <w:numPr>
          <w:ilvl w:val="0"/>
          <w:numId w:val="44"/>
        </w:numPr>
        <w:spacing w:before="0" w:beforeAutospacing="0" w:after="0" w:afterAutospacing="0" w:line="360" w:lineRule="auto"/>
        <w:jc w:val="both"/>
        <w:rPr>
          <w:sz w:val="32"/>
          <w:szCs w:val="32"/>
        </w:rPr>
      </w:pPr>
      <w:r w:rsidRPr="00386943">
        <w:rPr>
          <w:sz w:val="32"/>
          <w:szCs w:val="32"/>
        </w:rPr>
        <w:t>This paper presents a new perspective for cloud manufacturing, as well as a cloud-to-ground solution. The integrated solution proposed in this paper, including the terminology, MfgCloud, and applications, can push forward this new paradigm from concept to practice.</w:t>
      </w:r>
    </w:p>
    <w:p w:rsidR="00BB3207" w:rsidRDefault="00386943" w:rsidP="00386943">
      <w:pPr>
        <w:pStyle w:val="NormalWeb"/>
        <w:numPr>
          <w:ilvl w:val="0"/>
          <w:numId w:val="44"/>
        </w:numPr>
        <w:spacing w:before="0" w:beforeAutospacing="0" w:after="0" w:afterAutospacing="0" w:line="360" w:lineRule="auto"/>
        <w:jc w:val="both"/>
        <w:rPr>
          <w:sz w:val="32"/>
          <w:szCs w:val="32"/>
        </w:rPr>
      </w:pPr>
      <w:r w:rsidRPr="00386943">
        <w:rPr>
          <w:sz w:val="32"/>
          <w:szCs w:val="32"/>
        </w:rPr>
        <w:t>This paper proposes a systematic and complete solution to address these issues. We define a few fundamental terms and concepts in cloud manufacturing. Moreover, we developed MfgCloud, a cloud manufacturing platform prototype that can offer some of the basic functions that are required in cloud manufacturing.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86943" w:rsidRDefault="00094E85" w:rsidP="003869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943">
        <w:rPr>
          <w:rFonts w:ascii="Times New Roman" w:eastAsia="AdvGulliv-R" w:hAnsi="Times New Roman" w:cs="Times New Roman"/>
          <w:bCs/>
          <w:sz w:val="32"/>
          <w:szCs w:val="32"/>
          <w:lang w:val="en-IN"/>
        </w:rPr>
        <w:t>To improve the efficiency of the simulation process without losing generality, this paper makes the following assumptions about the evolution of CME: (1) there is only one PO in the CMfg platform, which adopts the assigned t</w:t>
      </w:r>
      <w:r w:rsidRPr="00386943">
        <w:rPr>
          <w:rFonts w:ascii="Times New Roman" w:eastAsia="AdvGulliv-R" w:hAnsi="Times New Roman" w:cs="Times New Roman"/>
          <w:bCs/>
          <w:sz w:val="32"/>
          <w:szCs w:val="32"/>
          <w:lang w:val="en-IN"/>
        </w:rPr>
        <w:t xml:space="preserve">ransaction mode. (2) The agents in the experiment only belong to a certain type of SD, SP and PO, and will not be both SD and SP. Each SP only provides a certain type of service. </w:t>
      </w:r>
    </w:p>
    <w:p w:rsidR="00000000" w:rsidRPr="00386943" w:rsidRDefault="00094E85" w:rsidP="003869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943">
        <w:rPr>
          <w:rFonts w:ascii="Times New Roman" w:eastAsia="AdvGulliv-R" w:hAnsi="Times New Roman" w:cs="Times New Roman"/>
          <w:bCs/>
          <w:sz w:val="32"/>
          <w:szCs w:val="32"/>
          <w:lang w:val="en-IN"/>
        </w:rPr>
        <w:lastRenderedPageBreak/>
        <w:t>When the two-way SDM strategy is adopted, the time for the CME to reach eco</w:t>
      </w:r>
      <w:r w:rsidRPr="00386943">
        <w:rPr>
          <w:rFonts w:ascii="Times New Roman" w:eastAsia="AdvGulliv-R" w:hAnsi="Times New Roman" w:cs="Times New Roman"/>
          <w:bCs/>
          <w:sz w:val="32"/>
          <w:szCs w:val="32"/>
          <w:lang w:val="en-IN"/>
        </w:rPr>
        <w:t>logical equilibrium is approximately 33% faster than when the one-way SDM strategy is adopted, which can improve the evolution efficiency of the CME and save marketing costs.</w:t>
      </w:r>
      <w:r w:rsidRPr="0038694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eastAsia="Times New Roman" w:hAnsi="Times New Roman" w:cs="Times New Roman"/>
                <w:sz w:val="32"/>
                <w:szCs w:val="32"/>
                <w:lang w:val="en-IN"/>
              </w:rPr>
              <w:t>Cloud manufacturing: A new manufacturing paradigm</w:t>
            </w:r>
          </w:p>
        </w:tc>
        <w:tc>
          <w:tcPr>
            <w:tcW w:w="3192" w:type="dxa"/>
          </w:tcPr>
          <w:p w:rsidR="000C407B" w:rsidRPr="005863BD" w:rsidRDefault="004A65A1" w:rsidP="004A65A1">
            <w:pPr>
              <w:tabs>
                <w:tab w:val="left" w:pos="720"/>
              </w:tabs>
              <w:spacing w:after="100" w:line="360" w:lineRule="auto"/>
              <w:jc w:val="both"/>
              <w:rPr>
                <w:rFonts w:ascii="Times New Roman" w:hAnsi="Times New Roman" w:cs="Times New Roman"/>
                <w:sz w:val="32"/>
                <w:szCs w:val="32"/>
              </w:rPr>
            </w:pPr>
            <w:r w:rsidRPr="005863BD">
              <w:rPr>
                <w:rFonts w:ascii="Times New Roman" w:eastAsia="Times New Roman" w:hAnsi="Times New Roman" w:cs="Times New Roman"/>
                <w:sz w:val="32"/>
                <w:szCs w:val="32"/>
                <w:lang w:val="en-IN"/>
              </w:rPr>
              <w:t xml:space="preserve">L. Zhang, Y. Luo, F. Tao, B. H. Li, L. Ren, X. Zhang, H. Guo, Y. Cheng, A. Hu, and Y. Liu, </w:t>
            </w:r>
          </w:p>
        </w:tc>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color w:val="333333"/>
                <w:sz w:val="32"/>
                <w:szCs w:val="32"/>
                <w:shd w:val="clear" w:color="auto" w:fill="FFFFFF"/>
              </w:rPr>
              <w:t>The concept of CMfg, including its architecture, typical characteristics and the key technologies for implementing a CMfg service platform, is discussed.</w:t>
            </w:r>
          </w:p>
        </w:tc>
      </w:tr>
      <w:tr w:rsidR="000C407B" w:rsidTr="000C407B">
        <w:trPr>
          <w:trHeight w:val="2942"/>
        </w:trPr>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t>Cloud manufacturing: From concept to practice</w:t>
            </w:r>
          </w:p>
        </w:tc>
        <w:tc>
          <w:tcPr>
            <w:tcW w:w="3192" w:type="dxa"/>
          </w:tcPr>
          <w:p w:rsidR="000C407B" w:rsidRPr="005863BD" w:rsidRDefault="004A65A1" w:rsidP="004A65A1">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t xml:space="preserve">L. Ren, L. Zhang, F. Tao, C. Zhao, X. Chai, and X. Zhao, </w:t>
            </w:r>
          </w:p>
        </w:tc>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color w:val="333333"/>
                <w:sz w:val="32"/>
                <w:szCs w:val="32"/>
                <w:shd w:val="clear" w:color="auto" w:fill="FFFFFF"/>
              </w:rPr>
              <w:t> In this paper, we review some of the research work and clarify some fundamental terminologies in this field. </w:t>
            </w:r>
          </w:p>
        </w:tc>
      </w:tr>
      <w:tr w:rsidR="000C407B" w:rsidTr="000C407B">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t>Capacity sharing in a network of enterprises using the Gale–</w:t>
            </w:r>
            <w:r w:rsidRPr="005863BD">
              <w:rPr>
                <w:rFonts w:ascii="Times New Roman" w:hAnsi="Times New Roman" w:cs="Times New Roman"/>
                <w:sz w:val="32"/>
                <w:szCs w:val="32"/>
              </w:rPr>
              <w:lastRenderedPageBreak/>
              <w:t>Shapley model</w:t>
            </w:r>
          </w:p>
        </w:tc>
        <w:tc>
          <w:tcPr>
            <w:tcW w:w="3192" w:type="dxa"/>
          </w:tcPr>
          <w:p w:rsidR="000C407B" w:rsidRPr="005863BD" w:rsidRDefault="004A65A1" w:rsidP="004A65A1">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lastRenderedPageBreak/>
              <w:t xml:space="preserve">P. Argoneto and P. Renna, </w:t>
            </w:r>
          </w:p>
        </w:tc>
        <w:tc>
          <w:tcPr>
            <w:tcW w:w="3192" w:type="dxa"/>
          </w:tcPr>
          <w:p w:rsidR="000C407B" w:rsidRPr="005863BD" w:rsidRDefault="004A65A1"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color w:val="333333"/>
                <w:sz w:val="32"/>
                <w:szCs w:val="32"/>
                <w:shd w:val="clear" w:color="auto" w:fill="FCFCFC"/>
              </w:rPr>
              <w:t xml:space="preserve">The allocation rule takes into account the utility functions of the </w:t>
            </w:r>
            <w:r w:rsidRPr="005863BD">
              <w:rPr>
                <w:rFonts w:ascii="Times New Roman" w:hAnsi="Times New Roman" w:cs="Times New Roman"/>
                <w:color w:val="333333"/>
                <w:sz w:val="32"/>
                <w:szCs w:val="32"/>
                <w:shd w:val="clear" w:color="auto" w:fill="FCFCFC"/>
              </w:rPr>
              <w:lastRenderedPageBreak/>
              <w:t>involved firms, and we show how the capacity allocation rule can be designed to induce all firms to report truthfully their information.</w:t>
            </w:r>
          </w:p>
        </w:tc>
      </w:tr>
      <w:tr w:rsidR="000C407B" w:rsidTr="000C407B">
        <w:tc>
          <w:tcPr>
            <w:tcW w:w="3192" w:type="dxa"/>
          </w:tcPr>
          <w:p w:rsidR="000C407B" w:rsidRPr="005863BD" w:rsidRDefault="005863BD"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lastRenderedPageBreak/>
              <w:t>Two-sided matching mechanism with agents’ expectation for cloud manufacturing resource</w:t>
            </w:r>
          </w:p>
        </w:tc>
        <w:tc>
          <w:tcPr>
            <w:tcW w:w="3192" w:type="dxa"/>
          </w:tcPr>
          <w:p w:rsidR="000C407B" w:rsidRPr="005863BD" w:rsidRDefault="005863BD" w:rsidP="005863BD">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sz w:val="32"/>
                <w:szCs w:val="32"/>
              </w:rPr>
              <w:t xml:space="preserve">D. Z. Zhao and R. Li, </w:t>
            </w:r>
          </w:p>
        </w:tc>
        <w:tc>
          <w:tcPr>
            <w:tcW w:w="3192" w:type="dxa"/>
          </w:tcPr>
          <w:p w:rsidR="000C407B" w:rsidRPr="005863BD" w:rsidRDefault="005863BD" w:rsidP="00E53AA4">
            <w:pPr>
              <w:tabs>
                <w:tab w:val="left" w:pos="720"/>
              </w:tabs>
              <w:spacing w:after="100" w:line="360" w:lineRule="auto"/>
              <w:jc w:val="both"/>
              <w:rPr>
                <w:rFonts w:ascii="Times New Roman" w:hAnsi="Times New Roman" w:cs="Times New Roman"/>
                <w:sz w:val="32"/>
                <w:szCs w:val="32"/>
              </w:rPr>
            </w:pPr>
            <w:r w:rsidRPr="005863BD">
              <w:rPr>
                <w:rFonts w:ascii="Times New Roman" w:hAnsi="Times New Roman" w:cs="Times New Roman"/>
                <w:color w:val="333333"/>
                <w:sz w:val="32"/>
                <w:szCs w:val="32"/>
                <w:shd w:val="clear" w:color="auto" w:fill="FFFFFF"/>
              </w:rPr>
              <w:t>Afterwards, according to preference information given by matching agents using the hesitant fuzzy element, the evaluation matrix is constructed.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386943" w:rsidRDefault="00386943" w:rsidP="00386943">
      <w:pPr>
        <w:rPr>
          <w:b/>
          <w:sz w:val="28"/>
          <w:szCs w:val="28"/>
        </w:rPr>
      </w:pPr>
    </w:p>
    <w:p w:rsidR="00386943" w:rsidRPr="00386943" w:rsidRDefault="00386943" w:rsidP="00386943"/>
    <w:p w:rsidR="00386943" w:rsidRDefault="00386943" w:rsidP="00386943">
      <w:pPr>
        <w:pStyle w:val="Heading6"/>
        <w:tabs>
          <w:tab w:val="left" w:pos="2160"/>
        </w:tabs>
        <w:spacing w:line="360" w:lineRule="auto"/>
        <w:rPr>
          <w:rFonts w:ascii="Times New Roman" w:hAnsi="Times New Roman" w:cs="Times New Roman"/>
          <w:b/>
          <w:i w:val="0"/>
          <w:color w:val="auto"/>
          <w:sz w:val="40"/>
          <w:szCs w:val="40"/>
        </w:rPr>
      </w:pPr>
    </w:p>
    <w:p w:rsidR="00386943" w:rsidRDefault="00386943" w:rsidP="00386943"/>
    <w:p w:rsidR="00386943" w:rsidRPr="00386943" w:rsidRDefault="00386943" w:rsidP="00386943"/>
    <w:p w:rsidR="00305BF0" w:rsidRPr="00D81E16" w:rsidRDefault="00305BF0" w:rsidP="0038694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386943">
        <w:rPr>
          <w:rFonts w:ascii="Times New Roman" w:hAnsi="Times New Roman" w:cs="Times New Roman"/>
          <w:b/>
          <w:sz w:val="40"/>
          <w:szCs w:val="40"/>
        </w:rPr>
        <w:t>SYSTEM ARCHICTURE</w:t>
      </w:r>
    </w:p>
    <w:p w:rsidR="00D81E16" w:rsidRDefault="00386943" w:rsidP="00E53AA4">
      <w:pPr>
        <w:spacing w:after="0" w:line="360" w:lineRule="auto"/>
        <w:jc w:val="both"/>
        <w:rPr>
          <w:rFonts w:ascii="Times New Roman" w:hAnsi="Times New Roman" w:cs="Times New Roman"/>
        </w:rPr>
      </w:pPr>
      <w:r w:rsidRPr="00386943">
        <w:rPr>
          <w:rFonts w:ascii="Times New Roman" w:hAnsi="Times New Roman" w:cs="Times New Roman"/>
        </w:rPr>
        <w:drawing>
          <wp:inline distT="0" distB="0" distL="0" distR="0">
            <wp:extent cx="5943600" cy="5410200"/>
            <wp:effectExtent l="19050" t="0" r="0" b="0"/>
            <wp:docPr id="3" name="Picture 1" descr="C:\Users\ELCOT-Lenovo\Desktop\pic 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4.png"/>
                    <pic:cNvPicPr>
                      <a:picLocks noGrp="1" noChangeAspect="1" noChangeArrowheads="1"/>
                    </pic:cNvPicPr>
                  </pic:nvPicPr>
                  <pic:blipFill>
                    <a:blip r:embed="rId8"/>
                    <a:srcRect/>
                    <a:stretch>
                      <a:fillRect/>
                    </a:stretch>
                  </pic:blipFill>
                  <pic:spPr bwMode="auto">
                    <a:xfrm>
                      <a:off x="0" y="0"/>
                      <a:ext cx="5943600" cy="541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386943" w:rsidRDefault="00D81E16" w:rsidP="00386943">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6943" w:rsidRPr="00386943" w:rsidRDefault="00386943" w:rsidP="00386943">
      <w:pPr>
        <w:pStyle w:val="BodyText"/>
        <w:rPr>
          <w:bCs/>
          <w:iCs/>
          <w:sz w:val="32"/>
          <w:szCs w:val="32"/>
          <w:lang w:val="en-IN"/>
        </w:rPr>
      </w:pPr>
      <w:r w:rsidRPr="00386943">
        <w:rPr>
          <w:bCs/>
          <w:iCs/>
          <w:sz w:val="32"/>
          <w:szCs w:val="32"/>
          <w:lang w:val="en-IN"/>
        </w:rPr>
        <w:t xml:space="preserve">    Aiming at the selection of SDM strategies in CMfg platforms, this paper establishes behavior models of three types of market entities, SP, SD, and PO, and designs multiagent behavior simulation experiments. By introducing evaluation indexes such as the overall utilization rate of SPs, the diversity of CMEs and the total output of CMEs, the influence of one-way and two-way SDM strategies on the evolution trend of CMEs was analyzed from the perspectives of POs. The simulation results show that the two-way SDM strategy considering the preferences of SDs and SPs is more conducive to the sustainable development of CMEs. This paper appropriately abstracts and simplifies the measurement of SP service capabilities, but without loss of generality. In the future, quantitative evaluations and the measurement of the dynamic availability of SPs can be carried out based on the proposed multiagent simulation framework, and a multiagent cooperative game mechanism can be added to improve the accuracy of the simulation model and its ability to reflect reality. This study lays the foundation for the design and dynamic regulation of the transaction rules employed by CMEs.</w:t>
      </w:r>
      <w:r w:rsidRPr="0038694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86943"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86943" w:rsidRDefault="00386943" w:rsidP="00E53AA4">
      <w:pPr>
        <w:pStyle w:val="BodyText"/>
        <w:rPr>
          <w:b/>
          <w:iCs/>
          <w:sz w:val="28"/>
          <w:szCs w:val="28"/>
        </w:rPr>
      </w:pPr>
    </w:p>
    <w:p w:rsidR="00386943" w:rsidRDefault="00386943" w:rsidP="00E53AA4">
      <w:pPr>
        <w:pStyle w:val="BodyText"/>
        <w:rPr>
          <w:b/>
          <w:iCs/>
          <w:sz w:val="28"/>
          <w:szCs w:val="28"/>
        </w:rPr>
      </w:pPr>
    </w:p>
    <w:p w:rsidR="00370D47" w:rsidRPr="003C0F6F" w:rsidRDefault="00370D47" w:rsidP="00386943">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86943" w:rsidRDefault="00094E85" w:rsidP="00386943">
      <w:pPr>
        <w:pStyle w:val="BodyText"/>
        <w:numPr>
          <w:ilvl w:val="0"/>
          <w:numId w:val="46"/>
        </w:numPr>
        <w:rPr>
          <w:sz w:val="32"/>
          <w:szCs w:val="32"/>
          <w:lang w:val="en-IN"/>
        </w:rPr>
      </w:pPr>
      <w:r w:rsidRPr="00386943">
        <w:rPr>
          <w:sz w:val="32"/>
          <w:szCs w:val="32"/>
          <w:lang w:val="en-IN"/>
        </w:rPr>
        <w:t>[1] L. Zhang, Y. Luo, F. Tao, B. H. Li, L. Ren, X. Zhang, H. Guo, Y. Cheng, A. Hu, and Y. Liu, ‘‘Cloud manufacturing: A new manufacturing paradigm,’’ Enterprise Inf. Syst., vol. 8, n</w:t>
      </w:r>
      <w:r w:rsidRPr="00386943">
        <w:rPr>
          <w:sz w:val="32"/>
          <w:szCs w:val="32"/>
          <w:lang w:val="en-IN"/>
        </w:rPr>
        <w:t xml:space="preserve">o. 2, pp. 167–187, Mar. 2014, doi: 10.1080/17517575.2012.683812. </w:t>
      </w:r>
    </w:p>
    <w:p w:rsidR="00000000" w:rsidRPr="00386943" w:rsidRDefault="00094E85" w:rsidP="00386943">
      <w:pPr>
        <w:pStyle w:val="BodyText"/>
        <w:numPr>
          <w:ilvl w:val="0"/>
          <w:numId w:val="46"/>
        </w:numPr>
        <w:rPr>
          <w:sz w:val="32"/>
          <w:szCs w:val="32"/>
          <w:lang w:val="en-IN"/>
        </w:rPr>
      </w:pPr>
      <w:r w:rsidRPr="00386943">
        <w:rPr>
          <w:sz w:val="32"/>
          <w:szCs w:val="32"/>
          <w:lang w:val="en-IN"/>
        </w:rPr>
        <w:t>[2] L. Ren, L. Zhang, F. Tao, C. Zhao, X. Chai, and X. Zhao, ‘‘Cloud manufacturing: From concept to practice,’’ Enterprise Inf. Syst., vol. 9, no. 2, pp. 186–209, Feb. 2015, doi: 10.1080/17</w:t>
      </w:r>
      <w:r w:rsidRPr="00386943">
        <w:rPr>
          <w:sz w:val="32"/>
          <w:szCs w:val="32"/>
          <w:lang w:val="en-IN"/>
        </w:rPr>
        <w:t xml:space="preserve">517575.2013.839055. </w:t>
      </w:r>
    </w:p>
    <w:p w:rsidR="00000000" w:rsidRPr="00386943" w:rsidRDefault="00094E85" w:rsidP="00386943">
      <w:pPr>
        <w:pStyle w:val="BodyText"/>
        <w:numPr>
          <w:ilvl w:val="0"/>
          <w:numId w:val="46"/>
        </w:numPr>
        <w:rPr>
          <w:sz w:val="32"/>
          <w:szCs w:val="32"/>
          <w:lang w:val="en-IN"/>
        </w:rPr>
      </w:pPr>
      <w:r w:rsidRPr="00386943">
        <w:rPr>
          <w:sz w:val="32"/>
          <w:szCs w:val="32"/>
          <w:lang w:val="en-IN"/>
        </w:rPr>
        <w:t xml:space="preserve">[3] P. Argoneto and P. Renna, ‘‘Capacity sharing in a network of enterprises using the Gale–Shapley model,’’ Int. J. Adv. Manuf. Technol., vol. 69, nos. 5–8, pp. 1907–1916, Nov. 2013, doi: 10.1007/s00170-013-5155-y. </w:t>
      </w:r>
    </w:p>
    <w:p w:rsidR="00000000" w:rsidRPr="00386943" w:rsidRDefault="00094E85" w:rsidP="00386943">
      <w:pPr>
        <w:pStyle w:val="BodyText"/>
        <w:numPr>
          <w:ilvl w:val="0"/>
          <w:numId w:val="46"/>
        </w:numPr>
        <w:rPr>
          <w:sz w:val="32"/>
          <w:szCs w:val="32"/>
          <w:lang w:val="en-IN"/>
        </w:rPr>
      </w:pPr>
      <w:r w:rsidRPr="00386943">
        <w:rPr>
          <w:sz w:val="32"/>
          <w:szCs w:val="32"/>
          <w:lang w:val="en-IN"/>
        </w:rPr>
        <w:t xml:space="preserve">[4] D. Z. </w:t>
      </w:r>
      <w:r w:rsidRPr="00386943">
        <w:rPr>
          <w:sz w:val="32"/>
          <w:szCs w:val="32"/>
          <w:lang w:val="en-IN"/>
        </w:rPr>
        <w:t xml:space="preserve">Zhao and R. Li, ‘‘Two-sided matching mechanism with agents’ expectation for cloud manufacturing resource,’’ Control Decis., vol. 32, no. 5, pp. 871–878, Mar. 2017, doi: 10.13195/j.kzyjc.2016.0518. </w:t>
      </w:r>
    </w:p>
    <w:p w:rsidR="00000000" w:rsidRPr="00386943" w:rsidRDefault="00094E85" w:rsidP="00386943">
      <w:pPr>
        <w:pStyle w:val="BodyText"/>
        <w:numPr>
          <w:ilvl w:val="0"/>
          <w:numId w:val="46"/>
        </w:numPr>
        <w:rPr>
          <w:sz w:val="32"/>
          <w:szCs w:val="32"/>
          <w:lang w:val="en-IN"/>
        </w:rPr>
      </w:pPr>
      <w:r w:rsidRPr="00386943">
        <w:rPr>
          <w:sz w:val="32"/>
          <w:szCs w:val="32"/>
          <w:lang w:val="en-IN"/>
        </w:rPr>
        <w:t>[5] J. H. Zhao and X. H. Wang, ‘‘Bidirectional matching m</w:t>
      </w:r>
      <w:r w:rsidRPr="00386943">
        <w:rPr>
          <w:sz w:val="32"/>
          <w:szCs w:val="32"/>
          <w:lang w:val="en-IN"/>
        </w:rPr>
        <w:t>odel of cloud manufacturing service based on service quality,’’ Comput. Integr. Manuf. Syst., vol. 22, no. 1, pp. 104–112, Jan. 2016, doi: 10.13196/j.cims.2016.01.010.</w:t>
      </w:r>
      <w:r w:rsidRPr="00386943">
        <w:rPr>
          <w:sz w:val="32"/>
          <w:szCs w:val="32"/>
        </w:rPr>
        <w:t xml:space="preserve"> </w:t>
      </w:r>
    </w:p>
    <w:p w:rsidR="00000000" w:rsidRPr="00386943" w:rsidRDefault="00094E85" w:rsidP="00386943">
      <w:pPr>
        <w:pStyle w:val="BodyText"/>
        <w:numPr>
          <w:ilvl w:val="0"/>
          <w:numId w:val="46"/>
        </w:numPr>
        <w:rPr>
          <w:sz w:val="32"/>
          <w:szCs w:val="32"/>
          <w:lang w:val="en-IN"/>
        </w:rPr>
      </w:pPr>
      <w:r w:rsidRPr="00386943">
        <w:rPr>
          <w:sz w:val="32"/>
          <w:szCs w:val="32"/>
          <w:lang w:val="en-IN"/>
        </w:rPr>
        <w:t>[6] X. X. Bi, Y. Dong, H. Yi, and J. S. Liu, ‘‘A resource storage model and supply-dem</w:t>
      </w:r>
      <w:r w:rsidRPr="00386943">
        <w:rPr>
          <w:sz w:val="32"/>
          <w:szCs w:val="32"/>
          <w:lang w:val="en-IN"/>
        </w:rPr>
        <w:t xml:space="preserve">and matching method based on cloud </w:t>
      </w:r>
      <w:r w:rsidRPr="00386943">
        <w:rPr>
          <w:sz w:val="32"/>
          <w:szCs w:val="32"/>
          <w:lang w:val="en-IN"/>
        </w:rPr>
        <w:lastRenderedPageBreak/>
        <w:t xml:space="preserve">manufacturing,’’ in Proc. 12th Int. Conf. Intell. Comput. Technol. Automat. (ICICTA), Xiangtan, China, Oct. 2019, pp. 626–632, doi: 10.1109/ICICTA49267.2019.00139. </w:t>
      </w:r>
    </w:p>
    <w:p w:rsidR="00000000" w:rsidRPr="00386943" w:rsidRDefault="00094E85" w:rsidP="00386943">
      <w:pPr>
        <w:pStyle w:val="BodyText"/>
        <w:numPr>
          <w:ilvl w:val="0"/>
          <w:numId w:val="46"/>
        </w:numPr>
        <w:rPr>
          <w:sz w:val="32"/>
          <w:szCs w:val="32"/>
          <w:lang w:val="en-IN"/>
        </w:rPr>
      </w:pPr>
      <w:r w:rsidRPr="00386943">
        <w:rPr>
          <w:sz w:val="32"/>
          <w:szCs w:val="32"/>
          <w:lang w:val="en-IN"/>
        </w:rPr>
        <w:t xml:space="preserve">[7] H. F. </w:t>
      </w:r>
      <w:r w:rsidRPr="00386943">
        <w:rPr>
          <w:sz w:val="32"/>
          <w:szCs w:val="32"/>
          <w:lang w:val="en-IN"/>
        </w:rPr>
        <w:t xml:space="preserve">Li, X. Dong, and C. G. Song, ‘‘Intelligent searching and matching approach for cloud manufacturing service,’’ Comput. Integr. Manuf. Syst., vol. 18, no. 7, pp. 1485–1493, Jul. 2012, doi: 10. 13196/j.cims.2012.07.144.lihf.018. </w:t>
      </w:r>
    </w:p>
    <w:p w:rsidR="00000000" w:rsidRPr="00386943" w:rsidRDefault="00094E85" w:rsidP="00386943">
      <w:pPr>
        <w:pStyle w:val="BodyText"/>
        <w:numPr>
          <w:ilvl w:val="0"/>
          <w:numId w:val="46"/>
        </w:numPr>
        <w:rPr>
          <w:sz w:val="32"/>
          <w:szCs w:val="32"/>
          <w:lang w:val="en-IN"/>
        </w:rPr>
      </w:pPr>
      <w:r w:rsidRPr="00386943">
        <w:rPr>
          <w:sz w:val="32"/>
          <w:szCs w:val="32"/>
          <w:lang w:val="en-IN"/>
        </w:rPr>
        <w:t>[8] X. Xue, S. F. Wang, L. J</w:t>
      </w:r>
      <w:r w:rsidRPr="00386943">
        <w:rPr>
          <w:sz w:val="32"/>
          <w:szCs w:val="32"/>
          <w:lang w:val="en-IN"/>
        </w:rPr>
        <w:t>. Zhang, and Z. Y. Feng, ‘‘Evaluating of dynamic service matching strategy for social manufacturing in cloud environment,’’ Future Gener. Comput. Syst., vol. 91, pp. 211–326, Feb. 2019, doi: 10. 1016/j.future.2018.08.028.</w:t>
      </w:r>
    </w:p>
    <w:p w:rsidR="00000000" w:rsidRPr="00386943" w:rsidRDefault="00094E85" w:rsidP="00386943">
      <w:pPr>
        <w:pStyle w:val="BodyText"/>
        <w:numPr>
          <w:ilvl w:val="0"/>
          <w:numId w:val="46"/>
        </w:numPr>
        <w:rPr>
          <w:sz w:val="32"/>
          <w:szCs w:val="32"/>
          <w:lang w:val="en-IN"/>
        </w:rPr>
      </w:pPr>
      <w:r w:rsidRPr="00386943">
        <w:rPr>
          <w:sz w:val="32"/>
          <w:szCs w:val="32"/>
          <w:lang w:val="en-IN"/>
        </w:rPr>
        <w:t>[9] X. Xia, S. F. Wang, L. J. Zha</w:t>
      </w:r>
      <w:r w:rsidRPr="00386943">
        <w:rPr>
          <w:sz w:val="32"/>
          <w:szCs w:val="32"/>
          <w:lang w:val="en-IN"/>
        </w:rPr>
        <w:t xml:space="preserve">ng, and C. Z. Qin, ‘‘Complexity analysis of manufacturing service ecosystem: A mapping-based computational experiment approach,’’ Int. J. Prod. Res., vol. 57, no. 2, pp. 357–378, Jan. 2019, doi: 10.1080/00207543.2018.1430906. </w:t>
      </w:r>
    </w:p>
    <w:p w:rsidR="00000000" w:rsidRPr="00386943" w:rsidRDefault="00094E85" w:rsidP="00386943">
      <w:pPr>
        <w:pStyle w:val="BodyText"/>
        <w:numPr>
          <w:ilvl w:val="0"/>
          <w:numId w:val="46"/>
        </w:numPr>
        <w:rPr>
          <w:sz w:val="32"/>
          <w:szCs w:val="32"/>
          <w:lang w:val="en-IN"/>
        </w:rPr>
      </w:pPr>
      <w:r w:rsidRPr="00386943">
        <w:rPr>
          <w:sz w:val="32"/>
          <w:szCs w:val="32"/>
          <w:lang w:val="en-IN"/>
        </w:rPr>
        <w:t>[10] J. Thekinen and J. H. P</w:t>
      </w:r>
      <w:r w:rsidRPr="00386943">
        <w:rPr>
          <w:sz w:val="32"/>
          <w:szCs w:val="32"/>
          <w:lang w:val="en-IN"/>
        </w:rPr>
        <w:t xml:space="preserve">anchal, ‘‘Resource allocation in cloud-based design and manufacturing: A mechanism design approach,’’ J. Manuf. Syst., vol. 43, pp. 327–338, Apr. 2017, doi: 10.1016/j.jmsy.2016.08.005.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E85" w:rsidRDefault="00094E85" w:rsidP="003654DF">
      <w:pPr>
        <w:spacing w:after="0" w:line="240" w:lineRule="auto"/>
      </w:pPr>
      <w:r>
        <w:separator/>
      </w:r>
    </w:p>
  </w:endnote>
  <w:endnote w:type="continuationSeparator" w:id="1">
    <w:p w:rsidR="00094E85" w:rsidRDefault="00094E8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E85" w:rsidRDefault="00094E85" w:rsidP="003654DF">
      <w:pPr>
        <w:spacing w:after="0" w:line="240" w:lineRule="auto"/>
      </w:pPr>
      <w:r>
        <w:separator/>
      </w:r>
    </w:p>
  </w:footnote>
  <w:footnote w:type="continuationSeparator" w:id="1">
    <w:p w:rsidR="00094E85" w:rsidRDefault="00094E8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D2131">
        <w:pPr>
          <w:pStyle w:val="Header"/>
          <w:jc w:val="right"/>
        </w:pPr>
        <w:fldSimple w:instr=" PAGE   \* MERGEFORMAT ">
          <w:r w:rsidR="005863BD">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D84D08"/>
    <w:multiLevelType w:val="hybridMultilevel"/>
    <w:tmpl w:val="F5324886"/>
    <w:lvl w:ilvl="0" w:tplc="A8D8E834">
      <w:start w:val="1"/>
      <w:numFmt w:val="bullet"/>
      <w:lvlText w:val=""/>
      <w:lvlJc w:val="left"/>
      <w:pPr>
        <w:tabs>
          <w:tab w:val="num" w:pos="720"/>
        </w:tabs>
        <w:ind w:left="720" w:hanging="360"/>
      </w:pPr>
      <w:rPr>
        <w:rFonts w:ascii="Wingdings 2" w:hAnsi="Wingdings 2" w:hint="default"/>
      </w:rPr>
    </w:lvl>
    <w:lvl w:ilvl="1" w:tplc="9788C7B0" w:tentative="1">
      <w:start w:val="1"/>
      <w:numFmt w:val="bullet"/>
      <w:lvlText w:val=""/>
      <w:lvlJc w:val="left"/>
      <w:pPr>
        <w:tabs>
          <w:tab w:val="num" w:pos="1440"/>
        </w:tabs>
        <w:ind w:left="1440" w:hanging="360"/>
      </w:pPr>
      <w:rPr>
        <w:rFonts w:ascii="Wingdings 2" w:hAnsi="Wingdings 2" w:hint="default"/>
      </w:rPr>
    </w:lvl>
    <w:lvl w:ilvl="2" w:tplc="2EFCDC54" w:tentative="1">
      <w:start w:val="1"/>
      <w:numFmt w:val="bullet"/>
      <w:lvlText w:val=""/>
      <w:lvlJc w:val="left"/>
      <w:pPr>
        <w:tabs>
          <w:tab w:val="num" w:pos="2160"/>
        </w:tabs>
        <w:ind w:left="2160" w:hanging="360"/>
      </w:pPr>
      <w:rPr>
        <w:rFonts w:ascii="Wingdings 2" w:hAnsi="Wingdings 2" w:hint="default"/>
      </w:rPr>
    </w:lvl>
    <w:lvl w:ilvl="3" w:tplc="16C85536" w:tentative="1">
      <w:start w:val="1"/>
      <w:numFmt w:val="bullet"/>
      <w:lvlText w:val=""/>
      <w:lvlJc w:val="left"/>
      <w:pPr>
        <w:tabs>
          <w:tab w:val="num" w:pos="2880"/>
        </w:tabs>
        <w:ind w:left="2880" w:hanging="360"/>
      </w:pPr>
      <w:rPr>
        <w:rFonts w:ascii="Wingdings 2" w:hAnsi="Wingdings 2" w:hint="default"/>
      </w:rPr>
    </w:lvl>
    <w:lvl w:ilvl="4" w:tplc="74488B60" w:tentative="1">
      <w:start w:val="1"/>
      <w:numFmt w:val="bullet"/>
      <w:lvlText w:val=""/>
      <w:lvlJc w:val="left"/>
      <w:pPr>
        <w:tabs>
          <w:tab w:val="num" w:pos="3600"/>
        </w:tabs>
        <w:ind w:left="3600" w:hanging="360"/>
      </w:pPr>
      <w:rPr>
        <w:rFonts w:ascii="Wingdings 2" w:hAnsi="Wingdings 2" w:hint="default"/>
      </w:rPr>
    </w:lvl>
    <w:lvl w:ilvl="5" w:tplc="70A6E960" w:tentative="1">
      <w:start w:val="1"/>
      <w:numFmt w:val="bullet"/>
      <w:lvlText w:val=""/>
      <w:lvlJc w:val="left"/>
      <w:pPr>
        <w:tabs>
          <w:tab w:val="num" w:pos="4320"/>
        </w:tabs>
        <w:ind w:left="4320" w:hanging="360"/>
      </w:pPr>
      <w:rPr>
        <w:rFonts w:ascii="Wingdings 2" w:hAnsi="Wingdings 2" w:hint="default"/>
      </w:rPr>
    </w:lvl>
    <w:lvl w:ilvl="6" w:tplc="BCE2BC7C" w:tentative="1">
      <w:start w:val="1"/>
      <w:numFmt w:val="bullet"/>
      <w:lvlText w:val=""/>
      <w:lvlJc w:val="left"/>
      <w:pPr>
        <w:tabs>
          <w:tab w:val="num" w:pos="5040"/>
        </w:tabs>
        <w:ind w:left="5040" w:hanging="360"/>
      </w:pPr>
      <w:rPr>
        <w:rFonts w:ascii="Wingdings 2" w:hAnsi="Wingdings 2" w:hint="default"/>
      </w:rPr>
    </w:lvl>
    <w:lvl w:ilvl="7" w:tplc="6B1ECEDA" w:tentative="1">
      <w:start w:val="1"/>
      <w:numFmt w:val="bullet"/>
      <w:lvlText w:val=""/>
      <w:lvlJc w:val="left"/>
      <w:pPr>
        <w:tabs>
          <w:tab w:val="num" w:pos="5760"/>
        </w:tabs>
        <w:ind w:left="5760" w:hanging="360"/>
      </w:pPr>
      <w:rPr>
        <w:rFonts w:ascii="Wingdings 2" w:hAnsi="Wingdings 2" w:hint="default"/>
      </w:rPr>
    </w:lvl>
    <w:lvl w:ilvl="8" w:tplc="23F25710" w:tentative="1">
      <w:start w:val="1"/>
      <w:numFmt w:val="bullet"/>
      <w:lvlText w:val=""/>
      <w:lvlJc w:val="left"/>
      <w:pPr>
        <w:tabs>
          <w:tab w:val="num" w:pos="6480"/>
        </w:tabs>
        <w:ind w:left="6480" w:hanging="360"/>
      </w:pPr>
      <w:rPr>
        <w:rFonts w:ascii="Wingdings 2" w:hAnsi="Wingdings 2" w:hint="default"/>
      </w:rPr>
    </w:lvl>
  </w:abstractNum>
  <w:abstractNum w:abstractNumId="10">
    <w:nsid w:val="2636225D"/>
    <w:multiLevelType w:val="hybridMultilevel"/>
    <w:tmpl w:val="1CAC40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F13DB0"/>
    <w:multiLevelType w:val="hybridMultilevel"/>
    <w:tmpl w:val="6F2C86CE"/>
    <w:lvl w:ilvl="0" w:tplc="F358384C">
      <w:start w:val="1"/>
      <w:numFmt w:val="bullet"/>
      <w:lvlText w:val=""/>
      <w:lvlJc w:val="left"/>
      <w:pPr>
        <w:tabs>
          <w:tab w:val="num" w:pos="720"/>
        </w:tabs>
        <w:ind w:left="720" w:hanging="360"/>
      </w:pPr>
      <w:rPr>
        <w:rFonts w:ascii="Wingdings 2" w:hAnsi="Wingdings 2" w:hint="default"/>
      </w:rPr>
    </w:lvl>
    <w:lvl w:ilvl="1" w:tplc="1EE4513A" w:tentative="1">
      <w:start w:val="1"/>
      <w:numFmt w:val="bullet"/>
      <w:lvlText w:val=""/>
      <w:lvlJc w:val="left"/>
      <w:pPr>
        <w:tabs>
          <w:tab w:val="num" w:pos="1440"/>
        </w:tabs>
        <w:ind w:left="1440" w:hanging="360"/>
      </w:pPr>
      <w:rPr>
        <w:rFonts w:ascii="Wingdings 2" w:hAnsi="Wingdings 2" w:hint="default"/>
      </w:rPr>
    </w:lvl>
    <w:lvl w:ilvl="2" w:tplc="9D122A1C" w:tentative="1">
      <w:start w:val="1"/>
      <w:numFmt w:val="bullet"/>
      <w:lvlText w:val=""/>
      <w:lvlJc w:val="left"/>
      <w:pPr>
        <w:tabs>
          <w:tab w:val="num" w:pos="2160"/>
        </w:tabs>
        <w:ind w:left="2160" w:hanging="360"/>
      </w:pPr>
      <w:rPr>
        <w:rFonts w:ascii="Wingdings 2" w:hAnsi="Wingdings 2" w:hint="default"/>
      </w:rPr>
    </w:lvl>
    <w:lvl w:ilvl="3" w:tplc="E9F609DC" w:tentative="1">
      <w:start w:val="1"/>
      <w:numFmt w:val="bullet"/>
      <w:lvlText w:val=""/>
      <w:lvlJc w:val="left"/>
      <w:pPr>
        <w:tabs>
          <w:tab w:val="num" w:pos="2880"/>
        </w:tabs>
        <w:ind w:left="2880" w:hanging="360"/>
      </w:pPr>
      <w:rPr>
        <w:rFonts w:ascii="Wingdings 2" w:hAnsi="Wingdings 2" w:hint="default"/>
      </w:rPr>
    </w:lvl>
    <w:lvl w:ilvl="4" w:tplc="BD4827BE" w:tentative="1">
      <w:start w:val="1"/>
      <w:numFmt w:val="bullet"/>
      <w:lvlText w:val=""/>
      <w:lvlJc w:val="left"/>
      <w:pPr>
        <w:tabs>
          <w:tab w:val="num" w:pos="3600"/>
        </w:tabs>
        <w:ind w:left="3600" w:hanging="360"/>
      </w:pPr>
      <w:rPr>
        <w:rFonts w:ascii="Wingdings 2" w:hAnsi="Wingdings 2" w:hint="default"/>
      </w:rPr>
    </w:lvl>
    <w:lvl w:ilvl="5" w:tplc="E8161B62" w:tentative="1">
      <w:start w:val="1"/>
      <w:numFmt w:val="bullet"/>
      <w:lvlText w:val=""/>
      <w:lvlJc w:val="left"/>
      <w:pPr>
        <w:tabs>
          <w:tab w:val="num" w:pos="4320"/>
        </w:tabs>
        <w:ind w:left="4320" w:hanging="360"/>
      </w:pPr>
      <w:rPr>
        <w:rFonts w:ascii="Wingdings 2" w:hAnsi="Wingdings 2" w:hint="default"/>
      </w:rPr>
    </w:lvl>
    <w:lvl w:ilvl="6" w:tplc="C28C2D00" w:tentative="1">
      <w:start w:val="1"/>
      <w:numFmt w:val="bullet"/>
      <w:lvlText w:val=""/>
      <w:lvlJc w:val="left"/>
      <w:pPr>
        <w:tabs>
          <w:tab w:val="num" w:pos="5040"/>
        </w:tabs>
        <w:ind w:left="5040" w:hanging="360"/>
      </w:pPr>
      <w:rPr>
        <w:rFonts w:ascii="Wingdings 2" w:hAnsi="Wingdings 2" w:hint="default"/>
      </w:rPr>
    </w:lvl>
    <w:lvl w:ilvl="7" w:tplc="C6A081B4" w:tentative="1">
      <w:start w:val="1"/>
      <w:numFmt w:val="bullet"/>
      <w:lvlText w:val=""/>
      <w:lvlJc w:val="left"/>
      <w:pPr>
        <w:tabs>
          <w:tab w:val="num" w:pos="5760"/>
        </w:tabs>
        <w:ind w:left="5760" w:hanging="360"/>
      </w:pPr>
      <w:rPr>
        <w:rFonts w:ascii="Wingdings 2" w:hAnsi="Wingdings 2" w:hint="default"/>
      </w:rPr>
    </w:lvl>
    <w:lvl w:ilvl="8" w:tplc="5764037C" w:tentative="1">
      <w:start w:val="1"/>
      <w:numFmt w:val="bullet"/>
      <w:lvlText w:val=""/>
      <w:lvlJc w:val="left"/>
      <w:pPr>
        <w:tabs>
          <w:tab w:val="num" w:pos="6480"/>
        </w:tabs>
        <w:ind w:left="6480" w:hanging="360"/>
      </w:pPr>
      <w:rPr>
        <w:rFonts w:ascii="Wingdings 2" w:hAnsi="Wingdings 2" w:hint="default"/>
      </w:rPr>
    </w:lvl>
  </w:abstractNum>
  <w:abstractNum w:abstractNumId="32">
    <w:nsid w:val="53BA4950"/>
    <w:multiLevelType w:val="hybridMultilevel"/>
    <w:tmpl w:val="6B1A1B26"/>
    <w:lvl w:ilvl="0" w:tplc="D7B62108">
      <w:start w:val="1"/>
      <w:numFmt w:val="bullet"/>
      <w:lvlText w:val=""/>
      <w:lvlJc w:val="left"/>
      <w:pPr>
        <w:tabs>
          <w:tab w:val="num" w:pos="720"/>
        </w:tabs>
        <w:ind w:left="720" w:hanging="360"/>
      </w:pPr>
      <w:rPr>
        <w:rFonts w:ascii="Wingdings 2" w:hAnsi="Wingdings 2" w:hint="default"/>
      </w:rPr>
    </w:lvl>
    <w:lvl w:ilvl="1" w:tplc="7412588A" w:tentative="1">
      <w:start w:val="1"/>
      <w:numFmt w:val="bullet"/>
      <w:lvlText w:val=""/>
      <w:lvlJc w:val="left"/>
      <w:pPr>
        <w:tabs>
          <w:tab w:val="num" w:pos="1440"/>
        </w:tabs>
        <w:ind w:left="1440" w:hanging="360"/>
      </w:pPr>
      <w:rPr>
        <w:rFonts w:ascii="Wingdings 2" w:hAnsi="Wingdings 2" w:hint="default"/>
      </w:rPr>
    </w:lvl>
    <w:lvl w:ilvl="2" w:tplc="1E82BA08" w:tentative="1">
      <w:start w:val="1"/>
      <w:numFmt w:val="bullet"/>
      <w:lvlText w:val=""/>
      <w:lvlJc w:val="left"/>
      <w:pPr>
        <w:tabs>
          <w:tab w:val="num" w:pos="2160"/>
        </w:tabs>
        <w:ind w:left="2160" w:hanging="360"/>
      </w:pPr>
      <w:rPr>
        <w:rFonts w:ascii="Wingdings 2" w:hAnsi="Wingdings 2" w:hint="default"/>
      </w:rPr>
    </w:lvl>
    <w:lvl w:ilvl="3" w:tplc="7E7CD6E0" w:tentative="1">
      <w:start w:val="1"/>
      <w:numFmt w:val="bullet"/>
      <w:lvlText w:val=""/>
      <w:lvlJc w:val="left"/>
      <w:pPr>
        <w:tabs>
          <w:tab w:val="num" w:pos="2880"/>
        </w:tabs>
        <w:ind w:left="2880" w:hanging="360"/>
      </w:pPr>
      <w:rPr>
        <w:rFonts w:ascii="Wingdings 2" w:hAnsi="Wingdings 2" w:hint="default"/>
      </w:rPr>
    </w:lvl>
    <w:lvl w:ilvl="4" w:tplc="FA02BD04" w:tentative="1">
      <w:start w:val="1"/>
      <w:numFmt w:val="bullet"/>
      <w:lvlText w:val=""/>
      <w:lvlJc w:val="left"/>
      <w:pPr>
        <w:tabs>
          <w:tab w:val="num" w:pos="3600"/>
        </w:tabs>
        <w:ind w:left="3600" w:hanging="360"/>
      </w:pPr>
      <w:rPr>
        <w:rFonts w:ascii="Wingdings 2" w:hAnsi="Wingdings 2" w:hint="default"/>
      </w:rPr>
    </w:lvl>
    <w:lvl w:ilvl="5" w:tplc="DE108B42" w:tentative="1">
      <w:start w:val="1"/>
      <w:numFmt w:val="bullet"/>
      <w:lvlText w:val=""/>
      <w:lvlJc w:val="left"/>
      <w:pPr>
        <w:tabs>
          <w:tab w:val="num" w:pos="4320"/>
        </w:tabs>
        <w:ind w:left="4320" w:hanging="360"/>
      </w:pPr>
      <w:rPr>
        <w:rFonts w:ascii="Wingdings 2" w:hAnsi="Wingdings 2" w:hint="default"/>
      </w:rPr>
    </w:lvl>
    <w:lvl w:ilvl="6" w:tplc="EDE64804" w:tentative="1">
      <w:start w:val="1"/>
      <w:numFmt w:val="bullet"/>
      <w:lvlText w:val=""/>
      <w:lvlJc w:val="left"/>
      <w:pPr>
        <w:tabs>
          <w:tab w:val="num" w:pos="5040"/>
        </w:tabs>
        <w:ind w:left="5040" w:hanging="360"/>
      </w:pPr>
      <w:rPr>
        <w:rFonts w:ascii="Wingdings 2" w:hAnsi="Wingdings 2" w:hint="default"/>
      </w:rPr>
    </w:lvl>
    <w:lvl w:ilvl="7" w:tplc="49C45C2C" w:tentative="1">
      <w:start w:val="1"/>
      <w:numFmt w:val="bullet"/>
      <w:lvlText w:val=""/>
      <w:lvlJc w:val="left"/>
      <w:pPr>
        <w:tabs>
          <w:tab w:val="num" w:pos="5760"/>
        </w:tabs>
        <w:ind w:left="5760" w:hanging="360"/>
      </w:pPr>
      <w:rPr>
        <w:rFonts w:ascii="Wingdings 2" w:hAnsi="Wingdings 2" w:hint="default"/>
      </w:rPr>
    </w:lvl>
    <w:lvl w:ilvl="8" w:tplc="5F187B2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0C7753"/>
    <w:multiLevelType w:val="hybridMultilevel"/>
    <w:tmpl w:val="D68C76AC"/>
    <w:lvl w:ilvl="0" w:tplc="09BE1D60">
      <w:start w:val="1"/>
      <w:numFmt w:val="bullet"/>
      <w:lvlText w:val=""/>
      <w:lvlJc w:val="left"/>
      <w:pPr>
        <w:tabs>
          <w:tab w:val="num" w:pos="720"/>
        </w:tabs>
        <w:ind w:left="720" w:hanging="360"/>
      </w:pPr>
      <w:rPr>
        <w:rFonts w:ascii="Wingdings 2" w:hAnsi="Wingdings 2" w:hint="default"/>
      </w:rPr>
    </w:lvl>
    <w:lvl w:ilvl="1" w:tplc="3B12B13E" w:tentative="1">
      <w:start w:val="1"/>
      <w:numFmt w:val="bullet"/>
      <w:lvlText w:val=""/>
      <w:lvlJc w:val="left"/>
      <w:pPr>
        <w:tabs>
          <w:tab w:val="num" w:pos="1440"/>
        </w:tabs>
        <w:ind w:left="1440" w:hanging="360"/>
      </w:pPr>
      <w:rPr>
        <w:rFonts w:ascii="Wingdings 2" w:hAnsi="Wingdings 2" w:hint="default"/>
      </w:rPr>
    </w:lvl>
    <w:lvl w:ilvl="2" w:tplc="29B425D8" w:tentative="1">
      <w:start w:val="1"/>
      <w:numFmt w:val="bullet"/>
      <w:lvlText w:val=""/>
      <w:lvlJc w:val="left"/>
      <w:pPr>
        <w:tabs>
          <w:tab w:val="num" w:pos="2160"/>
        </w:tabs>
        <w:ind w:left="2160" w:hanging="360"/>
      </w:pPr>
      <w:rPr>
        <w:rFonts w:ascii="Wingdings 2" w:hAnsi="Wingdings 2" w:hint="default"/>
      </w:rPr>
    </w:lvl>
    <w:lvl w:ilvl="3" w:tplc="49FA594E" w:tentative="1">
      <w:start w:val="1"/>
      <w:numFmt w:val="bullet"/>
      <w:lvlText w:val=""/>
      <w:lvlJc w:val="left"/>
      <w:pPr>
        <w:tabs>
          <w:tab w:val="num" w:pos="2880"/>
        </w:tabs>
        <w:ind w:left="2880" w:hanging="360"/>
      </w:pPr>
      <w:rPr>
        <w:rFonts w:ascii="Wingdings 2" w:hAnsi="Wingdings 2" w:hint="default"/>
      </w:rPr>
    </w:lvl>
    <w:lvl w:ilvl="4" w:tplc="81645624" w:tentative="1">
      <w:start w:val="1"/>
      <w:numFmt w:val="bullet"/>
      <w:lvlText w:val=""/>
      <w:lvlJc w:val="left"/>
      <w:pPr>
        <w:tabs>
          <w:tab w:val="num" w:pos="3600"/>
        </w:tabs>
        <w:ind w:left="3600" w:hanging="360"/>
      </w:pPr>
      <w:rPr>
        <w:rFonts w:ascii="Wingdings 2" w:hAnsi="Wingdings 2" w:hint="default"/>
      </w:rPr>
    </w:lvl>
    <w:lvl w:ilvl="5" w:tplc="36026718" w:tentative="1">
      <w:start w:val="1"/>
      <w:numFmt w:val="bullet"/>
      <w:lvlText w:val=""/>
      <w:lvlJc w:val="left"/>
      <w:pPr>
        <w:tabs>
          <w:tab w:val="num" w:pos="4320"/>
        </w:tabs>
        <w:ind w:left="4320" w:hanging="360"/>
      </w:pPr>
      <w:rPr>
        <w:rFonts w:ascii="Wingdings 2" w:hAnsi="Wingdings 2" w:hint="default"/>
      </w:rPr>
    </w:lvl>
    <w:lvl w:ilvl="6" w:tplc="9A2870F4" w:tentative="1">
      <w:start w:val="1"/>
      <w:numFmt w:val="bullet"/>
      <w:lvlText w:val=""/>
      <w:lvlJc w:val="left"/>
      <w:pPr>
        <w:tabs>
          <w:tab w:val="num" w:pos="5040"/>
        </w:tabs>
        <w:ind w:left="5040" w:hanging="360"/>
      </w:pPr>
      <w:rPr>
        <w:rFonts w:ascii="Wingdings 2" w:hAnsi="Wingdings 2" w:hint="default"/>
      </w:rPr>
    </w:lvl>
    <w:lvl w:ilvl="7" w:tplc="BF0E22C8" w:tentative="1">
      <w:start w:val="1"/>
      <w:numFmt w:val="bullet"/>
      <w:lvlText w:val=""/>
      <w:lvlJc w:val="left"/>
      <w:pPr>
        <w:tabs>
          <w:tab w:val="num" w:pos="5760"/>
        </w:tabs>
        <w:ind w:left="5760" w:hanging="360"/>
      </w:pPr>
      <w:rPr>
        <w:rFonts w:ascii="Wingdings 2" w:hAnsi="Wingdings 2" w:hint="default"/>
      </w:rPr>
    </w:lvl>
    <w:lvl w:ilvl="8" w:tplc="9D44A7F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DF3B6D"/>
    <w:multiLevelType w:val="hybridMultilevel"/>
    <w:tmpl w:val="18304564"/>
    <w:lvl w:ilvl="0" w:tplc="9A9E4EA4">
      <w:start w:val="1"/>
      <w:numFmt w:val="bullet"/>
      <w:lvlText w:val=""/>
      <w:lvlJc w:val="left"/>
      <w:pPr>
        <w:tabs>
          <w:tab w:val="num" w:pos="720"/>
        </w:tabs>
        <w:ind w:left="720" w:hanging="360"/>
      </w:pPr>
      <w:rPr>
        <w:rFonts w:ascii="Wingdings 2" w:hAnsi="Wingdings 2" w:hint="default"/>
      </w:rPr>
    </w:lvl>
    <w:lvl w:ilvl="1" w:tplc="81DEB74E" w:tentative="1">
      <w:start w:val="1"/>
      <w:numFmt w:val="bullet"/>
      <w:lvlText w:val=""/>
      <w:lvlJc w:val="left"/>
      <w:pPr>
        <w:tabs>
          <w:tab w:val="num" w:pos="1440"/>
        </w:tabs>
        <w:ind w:left="1440" w:hanging="360"/>
      </w:pPr>
      <w:rPr>
        <w:rFonts w:ascii="Wingdings 2" w:hAnsi="Wingdings 2" w:hint="default"/>
      </w:rPr>
    </w:lvl>
    <w:lvl w:ilvl="2" w:tplc="CD26CD8A" w:tentative="1">
      <w:start w:val="1"/>
      <w:numFmt w:val="bullet"/>
      <w:lvlText w:val=""/>
      <w:lvlJc w:val="left"/>
      <w:pPr>
        <w:tabs>
          <w:tab w:val="num" w:pos="2160"/>
        </w:tabs>
        <w:ind w:left="2160" w:hanging="360"/>
      </w:pPr>
      <w:rPr>
        <w:rFonts w:ascii="Wingdings 2" w:hAnsi="Wingdings 2" w:hint="default"/>
      </w:rPr>
    </w:lvl>
    <w:lvl w:ilvl="3" w:tplc="A01A7684" w:tentative="1">
      <w:start w:val="1"/>
      <w:numFmt w:val="bullet"/>
      <w:lvlText w:val=""/>
      <w:lvlJc w:val="left"/>
      <w:pPr>
        <w:tabs>
          <w:tab w:val="num" w:pos="2880"/>
        </w:tabs>
        <w:ind w:left="2880" w:hanging="360"/>
      </w:pPr>
      <w:rPr>
        <w:rFonts w:ascii="Wingdings 2" w:hAnsi="Wingdings 2" w:hint="default"/>
      </w:rPr>
    </w:lvl>
    <w:lvl w:ilvl="4" w:tplc="3B5CBDA2" w:tentative="1">
      <w:start w:val="1"/>
      <w:numFmt w:val="bullet"/>
      <w:lvlText w:val=""/>
      <w:lvlJc w:val="left"/>
      <w:pPr>
        <w:tabs>
          <w:tab w:val="num" w:pos="3600"/>
        </w:tabs>
        <w:ind w:left="3600" w:hanging="360"/>
      </w:pPr>
      <w:rPr>
        <w:rFonts w:ascii="Wingdings 2" w:hAnsi="Wingdings 2" w:hint="default"/>
      </w:rPr>
    </w:lvl>
    <w:lvl w:ilvl="5" w:tplc="6C404130" w:tentative="1">
      <w:start w:val="1"/>
      <w:numFmt w:val="bullet"/>
      <w:lvlText w:val=""/>
      <w:lvlJc w:val="left"/>
      <w:pPr>
        <w:tabs>
          <w:tab w:val="num" w:pos="4320"/>
        </w:tabs>
        <w:ind w:left="4320" w:hanging="360"/>
      </w:pPr>
      <w:rPr>
        <w:rFonts w:ascii="Wingdings 2" w:hAnsi="Wingdings 2" w:hint="default"/>
      </w:rPr>
    </w:lvl>
    <w:lvl w:ilvl="6" w:tplc="58FE8360" w:tentative="1">
      <w:start w:val="1"/>
      <w:numFmt w:val="bullet"/>
      <w:lvlText w:val=""/>
      <w:lvlJc w:val="left"/>
      <w:pPr>
        <w:tabs>
          <w:tab w:val="num" w:pos="5040"/>
        </w:tabs>
        <w:ind w:left="5040" w:hanging="360"/>
      </w:pPr>
      <w:rPr>
        <w:rFonts w:ascii="Wingdings 2" w:hAnsi="Wingdings 2" w:hint="default"/>
      </w:rPr>
    </w:lvl>
    <w:lvl w:ilvl="7" w:tplc="809ED170" w:tentative="1">
      <w:start w:val="1"/>
      <w:numFmt w:val="bullet"/>
      <w:lvlText w:val=""/>
      <w:lvlJc w:val="left"/>
      <w:pPr>
        <w:tabs>
          <w:tab w:val="num" w:pos="5760"/>
        </w:tabs>
        <w:ind w:left="5760" w:hanging="360"/>
      </w:pPr>
      <w:rPr>
        <w:rFonts w:ascii="Wingdings 2" w:hAnsi="Wingdings 2" w:hint="default"/>
      </w:rPr>
    </w:lvl>
    <w:lvl w:ilvl="8" w:tplc="453ECCA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31"/>
  </w:num>
  <w:num w:numId="43">
    <w:abstractNumId w:val="9"/>
  </w:num>
  <w:num w:numId="44">
    <w:abstractNumId w:val="10"/>
  </w:num>
  <w:num w:numId="45">
    <w:abstractNumId w:val="42"/>
  </w:num>
  <w:num w:numId="46">
    <w:abstractNumId w:val="36"/>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E85"/>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6943"/>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65A1"/>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3BD"/>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131"/>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1644341">
      <w:bodyDiv w:val="1"/>
      <w:marLeft w:val="0"/>
      <w:marRight w:val="0"/>
      <w:marTop w:val="0"/>
      <w:marBottom w:val="0"/>
      <w:divBdr>
        <w:top w:val="none" w:sz="0" w:space="0" w:color="auto"/>
        <w:left w:val="none" w:sz="0" w:space="0" w:color="auto"/>
        <w:bottom w:val="none" w:sz="0" w:space="0" w:color="auto"/>
        <w:right w:val="none" w:sz="0" w:space="0" w:color="auto"/>
      </w:divBdr>
      <w:divsChild>
        <w:div w:id="1761373215">
          <w:marLeft w:val="576"/>
          <w:marRight w:val="0"/>
          <w:marTop w:val="120"/>
          <w:marBottom w:val="0"/>
          <w:divBdr>
            <w:top w:val="none" w:sz="0" w:space="0" w:color="auto"/>
            <w:left w:val="none" w:sz="0" w:space="0" w:color="auto"/>
            <w:bottom w:val="none" w:sz="0" w:space="0" w:color="auto"/>
            <w:right w:val="none" w:sz="0" w:space="0" w:color="auto"/>
          </w:divBdr>
        </w:div>
        <w:div w:id="402028795">
          <w:marLeft w:val="576"/>
          <w:marRight w:val="0"/>
          <w:marTop w:val="120"/>
          <w:marBottom w:val="0"/>
          <w:divBdr>
            <w:top w:val="none" w:sz="0" w:space="0" w:color="auto"/>
            <w:left w:val="none" w:sz="0" w:space="0" w:color="auto"/>
            <w:bottom w:val="none" w:sz="0" w:space="0" w:color="auto"/>
            <w:right w:val="none" w:sz="0" w:space="0" w:color="auto"/>
          </w:divBdr>
        </w:div>
        <w:div w:id="155735512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5082867">
      <w:bodyDiv w:val="1"/>
      <w:marLeft w:val="0"/>
      <w:marRight w:val="0"/>
      <w:marTop w:val="0"/>
      <w:marBottom w:val="0"/>
      <w:divBdr>
        <w:top w:val="none" w:sz="0" w:space="0" w:color="auto"/>
        <w:left w:val="none" w:sz="0" w:space="0" w:color="auto"/>
        <w:bottom w:val="none" w:sz="0" w:space="0" w:color="auto"/>
        <w:right w:val="none" w:sz="0" w:space="0" w:color="auto"/>
      </w:divBdr>
      <w:divsChild>
        <w:div w:id="1242564124">
          <w:marLeft w:val="576"/>
          <w:marRight w:val="0"/>
          <w:marTop w:val="120"/>
          <w:marBottom w:val="0"/>
          <w:divBdr>
            <w:top w:val="none" w:sz="0" w:space="0" w:color="auto"/>
            <w:left w:val="none" w:sz="0" w:space="0" w:color="auto"/>
            <w:bottom w:val="none" w:sz="0" w:space="0" w:color="auto"/>
            <w:right w:val="none" w:sz="0" w:space="0" w:color="auto"/>
          </w:divBdr>
        </w:div>
        <w:div w:id="1939866730">
          <w:marLeft w:val="576"/>
          <w:marRight w:val="0"/>
          <w:marTop w:val="120"/>
          <w:marBottom w:val="0"/>
          <w:divBdr>
            <w:top w:val="none" w:sz="0" w:space="0" w:color="auto"/>
            <w:left w:val="none" w:sz="0" w:space="0" w:color="auto"/>
            <w:bottom w:val="none" w:sz="0" w:space="0" w:color="auto"/>
            <w:right w:val="none" w:sz="0" w:space="0" w:color="auto"/>
          </w:divBdr>
        </w:div>
      </w:divsChild>
    </w:div>
    <w:div w:id="1449155256">
      <w:bodyDiv w:val="1"/>
      <w:marLeft w:val="0"/>
      <w:marRight w:val="0"/>
      <w:marTop w:val="0"/>
      <w:marBottom w:val="0"/>
      <w:divBdr>
        <w:top w:val="none" w:sz="0" w:space="0" w:color="auto"/>
        <w:left w:val="none" w:sz="0" w:space="0" w:color="auto"/>
        <w:bottom w:val="none" w:sz="0" w:space="0" w:color="auto"/>
        <w:right w:val="none" w:sz="0" w:space="0" w:color="auto"/>
      </w:divBdr>
      <w:divsChild>
        <w:div w:id="2077048743">
          <w:marLeft w:val="576"/>
          <w:marRight w:val="0"/>
          <w:marTop w:val="120"/>
          <w:marBottom w:val="0"/>
          <w:divBdr>
            <w:top w:val="none" w:sz="0" w:space="0" w:color="auto"/>
            <w:left w:val="none" w:sz="0" w:space="0" w:color="auto"/>
            <w:bottom w:val="none" w:sz="0" w:space="0" w:color="auto"/>
            <w:right w:val="none" w:sz="0" w:space="0" w:color="auto"/>
          </w:divBdr>
        </w:div>
        <w:div w:id="98112621">
          <w:marLeft w:val="576"/>
          <w:marRight w:val="0"/>
          <w:marTop w:val="120"/>
          <w:marBottom w:val="0"/>
          <w:divBdr>
            <w:top w:val="none" w:sz="0" w:space="0" w:color="auto"/>
            <w:left w:val="none" w:sz="0" w:space="0" w:color="auto"/>
            <w:bottom w:val="none" w:sz="0" w:space="0" w:color="auto"/>
            <w:right w:val="none" w:sz="0" w:space="0" w:color="auto"/>
          </w:divBdr>
        </w:div>
        <w:div w:id="369188232">
          <w:marLeft w:val="576"/>
          <w:marRight w:val="0"/>
          <w:marTop w:val="120"/>
          <w:marBottom w:val="0"/>
          <w:divBdr>
            <w:top w:val="none" w:sz="0" w:space="0" w:color="auto"/>
            <w:left w:val="none" w:sz="0" w:space="0" w:color="auto"/>
            <w:bottom w:val="none" w:sz="0" w:space="0" w:color="auto"/>
            <w:right w:val="none" w:sz="0" w:space="0" w:color="auto"/>
          </w:divBdr>
        </w:div>
      </w:divsChild>
    </w:div>
    <w:div w:id="15297545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8069362">
      <w:bodyDiv w:val="1"/>
      <w:marLeft w:val="0"/>
      <w:marRight w:val="0"/>
      <w:marTop w:val="0"/>
      <w:marBottom w:val="0"/>
      <w:divBdr>
        <w:top w:val="none" w:sz="0" w:space="0" w:color="auto"/>
        <w:left w:val="none" w:sz="0" w:space="0" w:color="auto"/>
        <w:bottom w:val="none" w:sz="0" w:space="0" w:color="auto"/>
        <w:right w:val="none" w:sz="0" w:space="0" w:color="auto"/>
      </w:divBdr>
      <w:divsChild>
        <w:div w:id="1830629237">
          <w:marLeft w:val="576"/>
          <w:marRight w:val="0"/>
          <w:marTop w:val="120"/>
          <w:marBottom w:val="0"/>
          <w:divBdr>
            <w:top w:val="none" w:sz="0" w:space="0" w:color="auto"/>
            <w:left w:val="none" w:sz="0" w:space="0" w:color="auto"/>
            <w:bottom w:val="none" w:sz="0" w:space="0" w:color="auto"/>
            <w:right w:val="none" w:sz="0" w:space="0" w:color="auto"/>
          </w:divBdr>
        </w:div>
        <w:div w:id="968434085">
          <w:marLeft w:val="576"/>
          <w:marRight w:val="0"/>
          <w:marTop w:val="120"/>
          <w:marBottom w:val="0"/>
          <w:divBdr>
            <w:top w:val="none" w:sz="0" w:space="0" w:color="auto"/>
            <w:left w:val="none" w:sz="0" w:space="0" w:color="auto"/>
            <w:bottom w:val="none" w:sz="0" w:space="0" w:color="auto"/>
            <w:right w:val="none" w:sz="0" w:space="0" w:color="auto"/>
          </w:divBdr>
        </w:div>
        <w:div w:id="1204057976">
          <w:marLeft w:val="576"/>
          <w:marRight w:val="0"/>
          <w:marTop w:val="120"/>
          <w:marBottom w:val="0"/>
          <w:divBdr>
            <w:top w:val="none" w:sz="0" w:space="0" w:color="auto"/>
            <w:left w:val="none" w:sz="0" w:space="0" w:color="auto"/>
            <w:bottom w:val="none" w:sz="0" w:space="0" w:color="auto"/>
            <w:right w:val="none" w:sz="0" w:space="0" w:color="auto"/>
          </w:divBdr>
        </w:div>
        <w:div w:id="1858420037">
          <w:marLeft w:val="576"/>
          <w:marRight w:val="0"/>
          <w:marTop w:val="120"/>
          <w:marBottom w:val="0"/>
          <w:divBdr>
            <w:top w:val="none" w:sz="0" w:space="0" w:color="auto"/>
            <w:left w:val="none" w:sz="0" w:space="0" w:color="auto"/>
            <w:bottom w:val="none" w:sz="0" w:space="0" w:color="auto"/>
            <w:right w:val="none" w:sz="0" w:space="0" w:color="auto"/>
          </w:divBdr>
        </w:div>
        <w:div w:id="68209899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4181813">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8884661">
      <w:bodyDiv w:val="1"/>
      <w:marLeft w:val="0"/>
      <w:marRight w:val="0"/>
      <w:marTop w:val="0"/>
      <w:marBottom w:val="0"/>
      <w:divBdr>
        <w:top w:val="none" w:sz="0" w:space="0" w:color="auto"/>
        <w:left w:val="none" w:sz="0" w:space="0" w:color="auto"/>
        <w:bottom w:val="none" w:sz="0" w:space="0" w:color="auto"/>
        <w:right w:val="none" w:sz="0" w:space="0" w:color="auto"/>
      </w:divBdr>
      <w:divsChild>
        <w:div w:id="15078712">
          <w:marLeft w:val="576"/>
          <w:marRight w:val="0"/>
          <w:marTop w:val="120"/>
          <w:marBottom w:val="0"/>
          <w:divBdr>
            <w:top w:val="none" w:sz="0" w:space="0" w:color="auto"/>
            <w:left w:val="none" w:sz="0" w:space="0" w:color="auto"/>
            <w:bottom w:val="none" w:sz="0" w:space="0" w:color="auto"/>
            <w:right w:val="none" w:sz="0" w:space="0" w:color="auto"/>
          </w:divBdr>
        </w:div>
        <w:div w:id="496700246">
          <w:marLeft w:val="576"/>
          <w:marRight w:val="0"/>
          <w:marTop w:val="120"/>
          <w:marBottom w:val="0"/>
          <w:divBdr>
            <w:top w:val="none" w:sz="0" w:space="0" w:color="auto"/>
            <w:left w:val="none" w:sz="0" w:space="0" w:color="auto"/>
            <w:bottom w:val="none" w:sz="0" w:space="0" w:color="auto"/>
            <w:right w:val="none" w:sz="0" w:space="0" w:color="auto"/>
          </w:divBdr>
        </w:div>
        <w:div w:id="1616132012">
          <w:marLeft w:val="576"/>
          <w:marRight w:val="0"/>
          <w:marTop w:val="120"/>
          <w:marBottom w:val="0"/>
          <w:divBdr>
            <w:top w:val="none" w:sz="0" w:space="0" w:color="auto"/>
            <w:left w:val="none" w:sz="0" w:space="0" w:color="auto"/>
            <w:bottom w:val="none" w:sz="0" w:space="0" w:color="auto"/>
            <w:right w:val="none" w:sz="0" w:space="0" w:color="auto"/>
          </w:divBdr>
        </w:div>
        <w:div w:id="1691568846">
          <w:marLeft w:val="576"/>
          <w:marRight w:val="0"/>
          <w:marTop w:val="120"/>
          <w:marBottom w:val="0"/>
          <w:divBdr>
            <w:top w:val="none" w:sz="0" w:space="0" w:color="auto"/>
            <w:left w:val="none" w:sz="0" w:space="0" w:color="auto"/>
            <w:bottom w:val="none" w:sz="0" w:space="0" w:color="auto"/>
            <w:right w:val="none" w:sz="0" w:space="0" w:color="auto"/>
          </w:divBdr>
        </w:div>
        <w:div w:id="1655332930">
          <w:marLeft w:val="576"/>
          <w:marRight w:val="0"/>
          <w:marTop w:val="120"/>
          <w:marBottom w:val="0"/>
          <w:divBdr>
            <w:top w:val="none" w:sz="0" w:space="0" w:color="auto"/>
            <w:left w:val="none" w:sz="0" w:space="0" w:color="auto"/>
            <w:bottom w:val="none" w:sz="0" w:space="0" w:color="auto"/>
            <w:right w:val="none" w:sz="0" w:space="0" w:color="auto"/>
          </w:divBdr>
        </w:div>
      </w:divsChild>
    </w:div>
    <w:div w:id="1892374926">
      <w:bodyDiv w:val="1"/>
      <w:marLeft w:val="0"/>
      <w:marRight w:val="0"/>
      <w:marTop w:val="0"/>
      <w:marBottom w:val="0"/>
      <w:divBdr>
        <w:top w:val="none" w:sz="0" w:space="0" w:color="auto"/>
        <w:left w:val="none" w:sz="0" w:space="0" w:color="auto"/>
        <w:bottom w:val="none" w:sz="0" w:space="0" w:color="auto"/>
        <w:right w:val="none" w:sz="0" w:space="0" w:color="auto"/>
      </w:divBdr>
      <w:divsChild>
        <w:div w:id="1155606650">
          <w:marLeft w:val="576"/>
          <w:marRight w:val="0"/>
          <w:marTop w:val="120"/>
          <w:marBottom w:val="0"/>
          <w:divBdr>
            <w:top w:val="none" w:sz="0" w:space="0" w:color="auto"/>
            <w:left w:val="none" w:sz="0" w:space="0" w:color="auto"/>
            <w:bottom w:val="none" w:sz="0" w:space="0" w:color="auto"/>
            <w:right w:val="none" w:sz="0" w:space="0" w:color="auto"/>
          </w:divBdr>
        </w:div>
        <w:div w:id="179721662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584115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15</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2021-05-18T11:55:00Z</dcterms:modified>
</cp:coreProperties>
</file>