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E1217" w:rsidRDefault="005E1217" w:rsidP="005E1217">
      <w:pPr>
        <w:spacing w:line="360" w:lineRule="auto"/>
        <w:jc w:val="center"/>
        <w:rPr>
          <w:rFonts w:ascii="Times New Roman" w:hAnsi="Times New Roman" w:cs="Times New Roman"/>
          <w:b/>
          <w:sz w:val="56"/>
          <w:szCs w:val="56"/>
        </w:rPr>
      </w:pPr>
      <w:r w:rsidRPr="005E1217">
        <w:rPr>
          <w:rFonts w:ascii="Times New Roman" w:hAnsi="Times New Roman" w:cs="Times New Roman"/>
          <w:b/>
          <w:sz w:val="56"/>
          <w:szCs w:val="56"/>
        </w:rPr>
        <w:t>Perspectives on Machine Learning-assisted Plasma Medicine Towards Automated Plasma Treatment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85B5D" w:rsidRPr="00C85B5D" w:rsidRDefault="00C85B5D" w:rsidP="00C85B5D">
      <w:pPr>
        <w:spacing w:line="360" w:lineRule="auto"/>
        <w:jc w:val="both"/>
        <w:rPr>
          <w:rFonts w:ascii="Times New Roman" w:hAnsi="Times New Roman" w:cs="Times New Roman"/>
          <w:bCs/>
          <w:sz w:val="32"/>
          <w:szCs w:val="32"/>
          <w:lang w:val="en-IN"/>
        </w:rPr>
      </w:pPr>
      <w:r w:rsidRPr="00C85B5D">
        <w:rPr>
          <w:rFonts w:ascii="Times New Roman" w:hAnsi="Times New Roman" w:cs="Times New Roman"/>
          <w:b/>
          <w:sz w:val="40"/>
          <w:szCs w:val="40"/>
          <w:lang w:val="en-IN"/>
        </w:rPr>
        <w:t xml:space="preserve">    </w:t>
      </w:r>
      <w:r w:rsidRPr="00C85B5D">
        <w:rPr>
          <w:rFonts w:ascii="Times New Roman" w:hAnsi="Times New Roman" w:cs="Times New Roman"/>
          <w:bCs/>
          <w:sz w:val="32"/>
          <w:szCs w:val="32"/>
          <w:lang w:val="en-IN"/>
        </w:rPr>
        <w:t xml:space="preserve">Cold atmospheric plasmas (CAPs) have shown great promise for medical applications through their synergistic chemical, electrical, and thermal effects, which can induce therapeutic outcomes. However, safe and reproducible plasma treatment of complex biological surfaces poses a major hurdle to the widespread adoption of CAPs for medical applications. Predictive modeling of the mutual interactions between the plasma and biological surfaces and, thus, systematic approaches to quantify and predict plasma treatment outcomes remain largely elusive due to the lack of mechanistic understanding of plasma-surface interactions that can span across vastly different length-and time-scales. In addition, real-time sensing capabilities in biomedical CAP devices are often limited, which can be detrimental to plasma treatment due to the intrinsic plasma and surface variability during the treatment, as well as sensitivity to external perturbations. </w:t>
      </w:r>
    </w:p>
    <w:p w:rsidR="00C85B5D" w:rsidRPr="00C85B5D" w:rsidRDefault="00C85B5D" w:rsidP="00C85B5D">
      <w:pPr>
        <w:spacing w:line="360" w:lineRule="auto"/>
        <w:jc w:val="both"/>
        <w:rPr>
          <w:rFonts w:ascii="Times New Roman" w:hAnsi="Times New Roman" w:cs="Times New Roman"/>
          <w:bCs/>
          <w:sz w:val="32"/>
          <w:szCs w:val="32"/>
          <w:lang w:val="en-IN"/>
        </w:rPr>
      </w:pPr>
      <w:r w:rsidRPr="00C85B5D">
        <w:rPr>
          <w:rFonts w:ascii="Times New Roman" w:hAnsi="Times New Roman" w:cs="Times New Roman"/>
          <w:bCs/>
          <w:sz w:val="32"/>
          <w:szCs w:val="32"/>
          <w:lang w:val="en-IN"/>
        </w:rPr>
        <w:t xml:space="preserve">     All of these challenges can make reproducible and effective plasma treatment of biological surfaces difficult to realize, which is further compounded by errors due to human operation of hand-held CAP devices. Machine learning and data-driven approaches can be particularly useful in addressing these challenges in three major ways: (i) data-driven modeling of hard-to-model plasma-surface interactions and plasma treatment outcomes; (ii) learning data analytics for plasma and surface diagnostics in real-time; and (iii) developing predictive </w:t>
      </w:r>
      <w:r w:rsidRPr="00C85B5D">
        <w:rPr>
          <w:rFonts w:ascii="Times New Roman" w:hAnsi="Times New Roman" w:cs="Times New Roman"/>
          <w:bCs/>
          <w:sz w:val="32"/>
          <w:szCs w:val="32"/>
          <w:lang w:val="en-IN"/>
        </w:rPr>
        <w:lastRenderedPageBreak/>
        <w:t xml:space="preserve">controllers that enable reliable and effective CAP treatments. This paper discusses the promise of machine learning to accelerate plasma medicine research in these areas, toward machine learning-assisted and automated CAP treatment of complex biological surfaces. </w:t>
      </w:r>
    </w:p>
    <w:p w:rsidR="00C85B5D" w:rsidRPr="00C85B5D" w:rsidRDefault="00C85B5D" w:rsidP="00C85B5D">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C85B5D">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85B5D" w:rsidRDefault="00C85B5D" w:rsidP="00E53AA4">
      <w:pPr>
        <w:spacing w:line="360" w:lineRule="auto"/>
        <w:jc w:val="both"/>
        <w:rPr>
          <w:rFonts w:ascii="Times New Roman" w:hAnsi="Times New Roman" w:cs="Times New Roman"/>
          <w:sz w:val="40"/>
          <w:szCs w:val="40"/>
        </w:rPr>
      </w:pPr>
    </w:p>
    <w:p w:rsidR="00C85B5D" w:rsidRDefault="00C85B5D" w:rsidP="00E53AA4">
      <w:pPr>
        <w:spacing w:line="360" w:lineRule="auto"/>
        <w:jc w:val="both"/>
        <w:rPr>
          <w:rFonts w:ascii="Times New Roman" w:hAnsi="Times New Roman" w:cs="Times New Roman"/>
          <w:sz w:val="40"/>
          <w:szCs w:val="40"/>
        </w:rPr>
      </w:pPr>
    </w:p>
    <w:p w:rsidR="00C85B5D" w:rsidRDefault="00C85B5D" w:rsidP="00E53AA4">
      <w:pPr>
        <w:spacing w:line="360" w:lineRule="auto"/>
        <w:jc w:val="both"/>
        <w:rPr>
          <w:rFonts w:ascii="Times New Roman" w:hAnsi="Times New Roman" w:cs="Times New Roman"/>
          <w:sz w:val="40"/>
          <w:szCs w:val="40"/>
        </w:rPr>
      </w:pPr>
    </w:p>
    <w:p w:rsidR="00C85B5D" w:rsidRDefault="00C85B5D"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85B5D" w:rsidRDefault="00D85058" w:rsidP="00C85B5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85B5D">
        <w:rPr>
          <w:rFonts w:ascii="Times New Roman" w:hAnsi="Times New Roman" w:cs="Times New Roman"/>
          <w:sz w:val="32"/>
          <w:szCs w:val="32"/>
          <w:lang w:val="en-IN"/>
        </w:rPr>
        <w:t>The reason for that is not really clear. One reason could be that in most cases dental problems or</w:t>
      </w:r>
      <w:r w:rsidRPr="00C85B5D">
        <w:rPr>
          <w:rFonts w:ascii="Times New Roman" w:hAnsi="Times New Roman" w:cs="Times New Roman"/>
          <w:sz w:val="32"/>
          <w:szCs w:val="32"/>
          <w:lang w:val="en-IN"/>
        </w:rPr>
        <w:t xml:space="preserve"> diseases are not that wearing or life-threatening as non-healing chronic wounds or cancers are. </w:t>
      </w:r>
    </w:p>
    <w:p w:rsidR="00000000" w:rsidRPr="00C85B5D" w:rsidRDefault="00D85058" w:rsidP="00C85B5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85B5D">
        <w:rPr>
          <w:rFonts w:ascii="Times New Roman" w:hAnsi="Times New Roman" w:cs="Times New Roman"/>
          <w:sz w:val="32"/>
          <w:szCs w:val="32"/>
          <w:lang w:val="en-IN"/>
        </w:rPr>
        <w:t xml:space="preserve">Therefore, the risk-benefit-balance may be assessed in dentistry with different emphasis compared to other medical fields. </w:t>
      </w:r>
    </w:p>
    <w:p w:rsidR="00000000" w:rsidRPr="00C85B5D" w:rsidRDefault="00D85058" w:rsidP="00C85B5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85B5D">
        <w:rPr>
          <w:rFonts w:ascii="Times New Roman" w:hAnsi="Times New Roman" w:cs="Times New Roman"/>
          <w:sz w:val="32"/>
          <w:szCs w:val="32"/>
          <w:lang w:val="en-IN"/>
        </w:rPr>
        <w:t>However, this kind of reservatio</w:t>
      </w:r>
      <w:r w:rsidRPr="00C85B5D">
        <w:rPr>
          <w:rFonts w:ascii="Times New Roman" w:hAnsi="Times New Roman" w:cs="Times New Roman"/>
          <w:sz w:val="32"/>
          <w:szCs w:val="32"/>
          <w:lang w:val="en-IN"/>
        </w:rPr>
        <w:t xml:space="preserve">n should be removed at large because it was specifically proven for oral mucosa, too, that no long-term side effects caused by CAP treatment exist (Jablonowski et al., 2019). </w:t>
      </w:r>
    </w:p>
    <w:p w:rsidR="00000000" w:rsidRPr="00C85B5D" w:rsidRDefault="00D85058" w:rsidP="00C85B5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85B5D">
        <w:rPr>
          <w:rFonts w:ascii="Times New Roman" w:hAnsi="Times New Roman" w:cs="Times New Roman"/>
          <w:sz w:val="32"/>
          <w:szCs w:val="32"/>
          <w:lang w:val="en-IN"/>
        </w:rPr>
        <w:t>Moreover, for most of the problems in oral medicine more or less satisfactory t</w:t>
      </w:r>
      <w:r w:rsidRPr="00C85B5D">
        <w:rPr>
          <w:rFonts w:ascii="Times New Roman" w:hAnsi="Times New Roman" w:cs="Times New Roman"/>
          <w:sz w:val="32"/>
          <w:szCs w:val="32"/>
          <w:lang w:val="en-IN"/>
        </w:rPr>
        <w:t xml:space="preserve">reatment options are existing.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85B5D" w:rsidRDefault="00BB3207" w:rsidP="00C85B5D">
      <w:pPr>
        <w:numPr>
          <w:ilvl w:val="0"/>
          <w:numId w:val="43"/>
        </w:numPr>
        <w:jc w:val="both"/>
        <w:rPr>
          <w:rFonts w:ascii="Times New Roman" w:hAnsi="Times New Roman" w:cs="Times New Roman"/>
          <w:bCs/>
          <w:sz w:val="32"/>
          <w:szCs w:val="32"/>
          <w:lang w:val="en-IN"/>
        </w:rPr>
      </w:pPr>
      <w:r w:rsidRPr="00C85B5D">
        <w:rPr>
          <w:rFonts w:ascii="Times New Roman" w:hAnsi="Times New Roman" w:cs="Times New Roman"/>
          <w:bCs/>
          <w:sz w:val="32"/>
          <w:szCs w:val="32"/>
        </w:rPr>
        <w:t xml:space="preserve"> </w:t>
      </w:r>
      <w:r w:rsidR="00D85058" w:rsidRPr="00C85B5D">
        <w:rPr>
          <w:rFonts w:ascii="Times New Roman" w:hAnsi="Times New Roman" w:cs="Times New Roman"/>
          <w:bCs/>
          <w:sz w:val="32"/>
          <w:szCs w:val="32"/>
          <w:lang w:val="en-IN"/>
        </w:rPr>
        <w:t>ML lends itself well to handling large amounts of data with a plethora of different measurable properties/characteristics (i.e., features), including heterogeneous and unstructured datasets. While ML methods can be employed</w:t>
      </w:r>
      <w:r w:rsidR="00D85058" w:rsidRPr="00C85B5D">
        <w:rPr>
          <w:rFonts w:ascii="Times New Roman" w:hAnsi="Times New Roman" w:cs="Times New Roman"/>
          <w:bCs/>
          <w:sz w:val="32"/>
          <w:szCs w:val="32"/>
          <w:lang w:val="en-IN"/>
        </w:rPr>
        <w:t xml:space="preserve"> across different fields, it is generally advantageous to tailor ML algorithms to field-specific data analysis problems. </w:t>
      </w:r>
    </w:p>
    <w:p w:rsidR="00000000" w:rsidRPr="00C85B5D" w:rsidRDefault="00D85058" w:rsidP="00C85B5D">
      <w:pPr>
        <w:numPr>
          <w:ilvl w:val="0"/>
          <w:numId w:val="43"/>
        </w:numPr>
        <w:spacing w:line="360" w:lineRule="auto"/>
        <w:jc w:val="both"/>
        <w:rPr>
          <w:rFonts w:ascii="Times New Roman" w:hAnsi="Times New Roman" w:cs="Times New Roman"/>
          <w:b/>
          <w:sz w:val="36"/>
          <w:szCs w:val="36"/>
          <w:lang w:val="en-IN"/>
        </w:rPr>
      </w:pPr>
      <w:r w:rsidRPr="00C85B5D">
        <w:rPr>
          <w:rFonts w:ascii="Times New Roman" w:hAnsi="Times New Roman" w:cs="Times New Roman"/>
          <w:bCs/>
          <w:sz w:val="32"/>
          <w:szCs w:val="32"/>
          <w:lang w:val="en-IN"/>
        </w:rPr>
        <w:t>Although considering each sub-aim (i.e., prediction of treatment outcomes, real-time diagnostics, and learning-based control) indepen</w:t>
      </w:r>
      <w:r w:rsidRPr="00C85B5D">
        <w:rPr>
          <w:rFonts w:ascii="Times New Roman" w:hAnsi="Times New Roman" w:cs="Times New Roman"/>
          <w:bCs/>
          <w:sz w:val="32"/>
          <w:szCs w:val="32"/>
          <w:lang w:val="en-IN"/>
        </w:rPr>
        <w:t xml:space="preserve">dently is critical to examining the impact of ML on different components of the problem, future work must also direct </w:t>
      </w:r>
      <w:r w:rsidRPr="00C85B5D">
        <w:rPr>
          <w:rFonts w:ascii="Times New Roman" w:hAnsi="Times New Roman" w:cs="Times New Roman"/>
          <w:bCs/>
          <w:sz w:val="32"/>
          <w:szCs w:val="32"/>
          <w:lang w:val="en-IN"/>
        </w:rPr>
        <w:lastRenderedPageBreak/>
        <w:t>its efforts to combining the independently-developed tools in a comprehensive automated strategy</w:t>
      </w:r>
      <w:r w:rsidRPr="00C85B5D">
        <w:rPr>
          <w:rFonts w:ascii="Times New Roman" w:hAnsi="Times New Roman" w:cs="Times New Roman"/>
          <w:b/>
          <w:sz w:val="36"/>
          <w:szCs w:val="36"/>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85B5D" w:rsidRPr="00C85B5D" w:rsidRDefault="00C85B5D" w:rsidP="00C85B5D">
      <w:pPr>
        <w:pStyle w:val="NormalWeb"/>
        <w:spacing w:before="0" w:beforeAutospacing="0" w:after="0" w:afterAutospacing="0" w:line="360" w:lineRule="auto"/>
        <w:ind w:left="720"/>
        <w:jc w:val="both"/>
        <w:rPr>
          <w:sz w:val="32"/>
          <w:szCs w:val="32"/>
        </w:rPr>
      </w:pPr>
      <w:r w:rsidRPr="00C85B5D">
        <w:rPr>
          <w:sz w:val="32"/>
          <w:szCs w:val="32"/>
        </w:rPr>
        <w:t xml:space="preserve">As physical evaluation criteria, plasma/gas temperature, thermal output, optical emission spectra and irradiance measurements in the range between 200 and 900 nm, current flows (patient leakage current), and gas emission are proposed. </w:t>
      </w:r>
    </w:p>
    <w:p w:rsidR="00C85B5D" w:rsidRPr="00C85B5D" w:rsidRDefault="00C85B5D" w:rsidP="00C85B5D">
      <w:pPr>
        <w:pStyle w:val="NormalWeb"/>
        <w:spacing w:before="0" w:beforeAutospacing="0" w:after="0" w:afterAutospacing="0" w:line="360" w:lineRule="auto"/>
        <w:ind w:left="720"/>
        <w:jc w:val="both"/>
        <w:rPr>
          <w:sz w:val="32"/>
          <w:szCs w:val="32"/>
        </w:rPr>
      </w:pPr>
      <w:r w:rsidRPr="00C85B5D">
        <w:rPr>
          <w:sz w:val="32"/>
          <w:szCs w:val="32"/>
        </w:rPr>
        <w:t xml:space="preserve">Biological evaluation criteria comprise the in vitro determination of inactivation of specified microorganisms as well as viability tests of eukaryotic cell cultures in vitro. </w:t>
      </w:r>
    </w:p>
    <w:p w:rsidR="00BB3207" w:rsidRDefault="00C85B5D" w:rsidP="00C85B5D">
      <w:pPr>
        <w:pStyle w:val="NormalWeb"/>
        <w:spacing w:before="0" w:beforeAutospacing="0" w:after="0" w:afterAutospacing="0" w:line="360" w:lineRule="auto"/>
        <w:ind w:left="720"/>
        <w:jc w:val="both"/>
        <w:rPr>
          <w:sz w:val="32"/>
          <w:szCs w:val="32"/>
        </w:rPr>
      </w:pPr>
      <w:r w:rsidRPr="00C85B5D">
        <w:rPr>
          <w:sz w:val="32"/>
          <w:szCs w:val="32"/>
        </w:rPr>
        <w:t>The detection of chemical species generated by CAP treatment of aqueous liquid is additionally proposed to roughly evaluate the composition and extent of ROS and RNS generated by the plasma device.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85B5D" w:rsidRDefault="00D85058" w:rsidP="00C85B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5B5D">
        <w:rPr>
          <w:rFonts w:ascii="Times New Roman" w:eastAsia="AdvGulliv-R" w:hAnsi="Times New Roman" w:cs="Times New Roman"/>
          <w:bCs/>
          <w:sz w:val="32"/>
          <w:szCs w:val="32"/>
          <w:lang w:val="en-IN"/>
        </w:rPr>
        <w:t>The main advantage of IL over RL is that there is no need for explicit programming or desig</w:t>
      </w:r>
      <w:r w:rsidRPr="00C85B5D">
        <w:rPr>
          <w:rFonts w:ascii="Times New Roman" w:eastAsia="AdvGulliv-R" w:hAnsi="Times New Roman" w:cs="Times New Roman"/>
          <w:bCs/>
          <w:sz w:val="32"/>
          <w:szCs w:val="32"/>
          <w:lang w:val="en-IN"/>
        </w:rPr>
        <w:t>ning reward functions specific to the task, which makes it particularly appropriate to addressing potentially conflicting and hard-tomodel control goals, since the entire learning process can be reduced to providing demonstrations</w:t>
      </w:r>
    </w:p>
    <w:p w:rsidR="00000000" w:rsidRPr="00C85B5D" w:rsidRDefault="00D85058" w:rsidP="00C85B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5B5D">
        <w:rPr>
          <w:rFonts w:ascii="Times New Roman" w:eastAsia="AdvGulliv-R" w:hAnsi="Times New Roman" w:cs="Times New Roman"/>
          <w:bCs/>
          <w:sz w:val="32"/>
          <w:szCs w:val="32"/>
          <w:lang w:val="en-IN"/>
        </w:rPr>
        <w:t>Quantitative and real-ti</w:t>
      </w:r>
      <w:r w:rsidRPr="00C85B5D">
        <w:rPr>
          <w:rFonts w:ascii="Times New Roman" w:eastAsia="AdvGulliv-R" w:hAnsi="Times New Roman" w:cs="Times New Roman"/>
          <w:bCs/>
          <w:sz w:val="32"/>
          <w:szCs w:val="32"/>
          <w:lang w:val="en-IN"/>
        </w:rPr>
        <w:t xml:space="preserve">me diagnosis of the plasma and plasma-surface interactions is a key challenge in plasma medicine. </w:t>
      </w:r>
    </w:p>
    <w:p w:rsidR="00000000" w:rsidRPr="00C85B5D" w:rsidRDefault="00D85058" w:rsidP="00C85B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5B5D">
        <w:rPr>
          <w:rFonts w:ascii="Times New Roman" w:eastAsia="AdvGulliv-R" w:hAnsi="Times New Roman" w:cs="Times New Roman"/>
          <w:bCs/>
          <w:sz w:val="32"/>
          <w:szCs w:val="32"/>
          <w:lang w:val="en-IN"/>
        </w:rPr>
        <w:lastRenderedPageBreak/>
        <w:t>To this end, multivariate statistical methods have been widely employed for plasma diagnostics due to the several advantages that they offer over moreconven</w:t>
      </w:r>
      <w:r w:rsidRPr="00C85B5D">
        <w:rPr>
          <w:rFonts w:ascii="Times New Roman" w:eastAsia="AdvGulliv-R" w:hAnsi="Times New Roman" w:cs="Times New Roman"/>
          <w:bCs/>
          <w:sz w:val="32"/>
          <w:szCs w:val="32"/>
          <w:lang w:val="en-IN"/>
        </w:rPr>
        <w:t>tional methods.</w:t>
      </w:r>
      <w:r w:rsidRPr="00C85B5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445"/>
        <w:gridCol w:w="3939"/>
      </w:tblGrid>
      <w:tr w:rsidR="000C407B" w:rsidTr="00C46889">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44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939"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C46889">
        <w:trPr>
          <w:trHeight w:val="2780"/>
        </w:trPr>
        <w:tc>
          <w:tcPr>
            <w:tcW w:w="3192"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eastAsia="Times New Roman" w:hAnsi="Times New Roman" w:cs="Times New Roman"/>
                <w:sz w:val="32"/>
                <w:szCs w:val="32"/>
                <w:lang w:val="en-IN"/>
              </w:rPr>
              <w:t>Cold atmospheric plasma treatment of infected skin tissue: evaluation of sterility, viability, and integrity</w:t>
            </w:r>
          </w:p>
        </w:tc>
        <w:tc>
          <w:tcPr>
            <w:tcW w:w="2445" w:type="dxa"/>
          </w:tcPr>
          <w:p w:rsidR="000C407B" w:rsidRPr="00C46889" w:rsidRDefault="00B45227" w:rsidP="00B45227">
            <w:pPr>
              <w:tabs>
                <w:tab w:val="left" w:pos="720"/>
              </w:tabs>
              <w:spacing w:after="100" w:line="360" w:lineRule="auto"/>
              <w:jc w:val="both"/>
              <w:rPr>
                <w:rFonts w:ascii="Times New Roman" w:hAnsi="Times New Roman" w:cs="Times New Roman"/>
                <w:sz w:val="32"/>
                <w:szCs w:val="32"/>
              </w:rPr>
            </w:pPr>
            <w:r w:rsidRPr="00C46889">
              <w:rPr>
                <w:rFonts w:ascii="Times New Roman" w:eastAsia="Times New Roman" w:hAnsi="Times New Roman" w:cs="Times New Roman"/>
                <w:sz w:val="32"/>
                <w:szCs w:val="32"/>
                <w:lang w:val="en-IN"/>
              </w:rPr>
              <w:t xml:space="preserve">R. Laurita, A. Miserocchi, M. Ghetti, M. Gherardi, A. Stancampiano, V. Purpura, D. Melandri, P. Minghetti, E. Bondioli, and V. Colombo, </w:t>
            </w:r>
          </w:p>
        </w:tc>
        <w:tc>
          <w:tcPr>
            <w:tcW w:w="3939"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color w:val="333333"/>
                <w:sz w:val="32"/>
                <w:szCs w:val="32"/>
                <w:shd w:val="clear" w:color="auto" w:fill="FFFFFF"/>
              </w:rPr>
              <w:t>Sterilization of equipment and tissues is a common clinical practice: there are different chemical, mechanical, and electromagnetic aseptic techniques for inactivating microorganisms.</w:t>
            </w:r>
          </w:p>
        </w:tc>
      </w:tr>
      <w:tr w:rsidR="000C407B" w:rsidTr="00C46889">
        <w:trPr>
          <w:trHeight w:val="2942"/>
        </w:trPr>
        <w:tc>
          <w:tcPr>
            <w:tcW w:w="3192"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sz w:val="32"/>
                <w:szCs w:val="32"/>
              </w:rPr>
              <w:t xml:space="preserve">Aqueous-phase chemistry and bactericidal effects from an air discharge plasma in contact with water: evidence for the formation of peroxynitrite through a pseudo-second-order </w:t>
            </w:r>
            <w:r w:rsidRPr="00C46889">
              <w:rPr>
                <w:rFonts w:ascii="Times New Roman" w:hAnsi="Times New Roman" w:cs="Times New Roman"/>
                <w:sz w:val="32"/>
                <w:szCs w:val="32"/>
              </w:rPr>
              <w:lastRenderedPageBreak/>
              <w:t>post-discharge reaction of h2o2 and hno2</w:t>
            </w:r>
          </w:p>
        </w:tc>
        <w:tc>
          <w:tcPr>
            <w:tcW w:w="2445" w:type="dxa"/>
          </w:tcPr>
          <w:p w:rsidR="000C407B" w:rsidRPr="00C46889" w:rsidRDefault="00B45227" w:rsidP="00B45227">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sz w:val="32"/>
                <w:szCs w:val="32"/>
              </w:rPr>
              <w:lastRenderedPageBreak/>
              <w:t xml:space="preserve">P. Lukes, E. Dolezalova, I. Sisrova, and M. Clupek, </w:t>
            </w:r>
          </w:p>
        </w:tc>
        <w:tc>
          <w:tcPr>
            <w:tcW w:w="3939"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color w:val="333333"/>
                <w:sz w:val="32"/>
                <w:szCs w:val="32"/>
                <w:shd w:val="clear" w:color="auto" w:fill="FFFFFF"/>
              </w:rPr>
              <w:t> The aqueous-phase chemistry and specific contributions of these species to the chemical and biocidal effects of air discharge plasma in water were evaluated using phenol as a chemical probe and bacteria Escherichia coli. </w:t>
            </w:r>
          </w:p>
        </w:tc>
      </w:tr>
      <w:tr w:rsidR="000C407B" w:rsidTr="00C46889">
        <w:tc>
          <w:tcPr>
            <w:tcW w:w="3192"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sz w:val="32"/>
                <w:szCs w:val="32"/>
              </w:rPr>
              <w:lastRenderedPageBreak/>
              <w:t>Nonthermal atmospheric-pressure plasma possible application in wound healing</w:t>
            </w:r>
          </w:p>
        </w:tc>
        <w:tc>
          <w:tcPr>
            <w:tcW w:w="2445" w:type="dxa"/>
          </w:tcPr>
          <w:p w:rsidR="000C407B" w:rsidRPr="00C46889" w:rsidRDefault="00B45227" w:rsidP="00B45227">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sz w:val="32"/>
                <w:szCs w:val="32"/>
              </w:rPr>
              <w:t xml:space="preserve">B. Haertel, T. Von Woedtke, K.-D. Weltmann, and U. Lindequist, </w:t>
            </w:r>
          </w:p>
        </w:tc>
        <w:tc>
          <w:tcPr>
            <w:tcW w:w="3939"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color w:val="333333"/>
                <w:sz w:val="32"/>
                <w:szCs w:val="32"/>
                <w:shd w:val="clear" w:color="auto" w:fill="FFFFFF"/>
              </w:rPr>
              <w:t>Non-thermal atmospheric-pressure plasma is a new innovative approach in medicine not only for the treatment of wounds, but with a wide-range of other applications, as e.g. topical treatment of other skin diseases with microbial involvement or treatment of cancer diseases.</w:t>
            </w:r>
          </w:p>
        </w:tc>
      </w:tr>
      <w:tr w:rsidR="000C407B" w:rsidTr="00C46889">
        <w:tc>
          <w:tcPr>
            <w:tcW w:w="3192"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sz w:val="32"/>
                <w:szCs w:val="32"/>
              </w:rPr>
              <w:t>A cold plasma jet accelerates wound healing in a murine model of full-thickness skin wounds</w:t>
            </w:r>
          </w:p>
        </w:tc>
        <w:tc>
          <w:tcPr>
            <w:tcW w:w="2445" w:type="dxa"/>
          </w:tcPr>
          <w:p w:rsidR="000C407B" w:rsidRPr="00C46889" w:rsidRDefault="00B45227" w:rsidP="00B45227">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sz w:val="32"/>
                <w:szCs w:val="32"/>
              </w:rPr>
              <w:t xml:space="preserve">A. Schmidt, S. Bekeschus, K. Wende, B. Vollmar, and T. von Woedtke, </w:t>
            </w:r>
          </w:p>
        </w:tc>
        <w:tc>
          <w:tcPr>
            <w:tcW w:w="3939" w:type="dxa"/>
          </w:tcPr>
          <w:p w:rsidR="000C407B" w:rsidRPr="00C46889" w:rsidRDefault="00B45227" w:rsidP="00E53AA4">
            <w:pPr>
              <w:tabs>
                <w:tab w:val="left" w:pos="720"/>
              </w:tabs>
              <w:spacing w:after="100" w:line="360" w:lineRule="auto"/>
              <w:jc w:val="both"/>
              <w:rPr>
                <w:rFonts w:ascii="Times New Roman" w:hAnsi="Times New Roman" w:cs="Times New Roman"/>
                <w:sz w:val="32"/>
                <w:szCs w:val="32"/>
              </w:rPr>
            </w:pPr>
            <w:r w:rsidRPr="00C46889">
              <w:rPr>
                <w:rFonts w:ascii="Times New Roman" w:hAnsi="Times New Roman" w:cs="Times New Roman"/>
                <w:color w:val="333333"/>
                <w:sz w:val="32"/>
                <w:szCs w:val="32"/>
                <w:shd w:val="clear" w:color="auto" w:fill="FFFFFF"/>
              </w:rPr>
              <w:t>In vitro, cold plasma altered keratinocytes and fibroblasts migration while both cell types showed significant stimulation resulting in accelerated closure of gaps in scratch assays.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C85B5D" w:rsidRDefault="00C85B5D" w:rsidP="00C85B5D">
      <w:pPr>
        <w:pStyle w:val="Heading6"/>
        <w:tabs>
          <w:tab w:val="left" w:pos="2160"/>
        </w:tabs>
        <w:spacing w:line="360" w:lineRule="auto"/>
        <w:rPr>
          <w:rFonts w:asciiTheme="minorHAnsi" w:eastAsiaTheme="minorHAnsi" w:hAnsiTheme="minorHAnsi" w:cstheme="minorBidi"/>
          <w:i w:val="0"/>
          <w:iCs w:val="0"/>
          <w:color w:val="auto"/>
        </w:rPr>
      </w:pPr>
    </w:p>
    <w:p w:rsidR="00C85B5D" w:rsidRDefault="00C85B5D" w:rsidP="00C85B5D"/>
    <w:p w:rsidR="00C85B5D" w:rsidRPr="00C85B5D" w:rsidRDefault="00C85B5D" w:rsidP="00C85B5D"/>
    <w:p w:rsidR="00305BF0" w:rsidRPr="00D81E16" w:rsidRDefault="00305BF0" w:rsidP="00C85B5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85B5D" w:rsidRDefault="00405E73" w:rsidP="00E53AA4">
      <w:pPr>
        <w:spacing w:after="0" w:line="360" w:lineRule="auto"/>
        <w:jc w:val="both"/>
        <w:rPr>
          <w:rFonts w:ascii="Times New Roman" w:hAnsi="Times New Roman" w:cs="Times New Roman"/>
          <w:b/>
          <w:sz w:val="40"/>
          <w:szCs w:val="40"/>
        </w:rPr>
      </w:pPr>
      <w:r w:rsidRPr="00C85B5D">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85B5D" w:rsidP="00E53AA4">
      <w:pPr>
        <w:spacing w:after="0" w:line="360" w:lineRule="auto"/>
        <w:jc w:val="both"/>
        <w:rPr>
          <w:rFonts w:ascii="Times New Roman" w:hAnsi="Times New Roman" w:cs="Times New Roman"/>
        </w:rPr>
      </w:pPr>
      <w:r w:rsidRPr="00C85B5D">
        <w:rPr>
          <w:rFonts w:ascii="Times New Roman" w:hAnsi="Times New Roman" w:cs="Times New Roman"/>
        </w:rPr>
        <w:drawing>
          <wp:inline distT="0" distB="0" distL="0" distR="0">
            <wp:extent cx="5943600" cy="4098925"/>
            <wp:effectExtent l="19050" t="0" r="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jpg"/>
                    <pic:cNvPicPr>
                      <a:picLocks noGrp="1" noChangeAspect="1" noChangeArrowheads="1"/>
                    </pic:cNvPicPr>
                  </pic:nvPicPr>
                  <pic:blipFill>
                    <a:blip r:embed="rId8"/>
                    <a:srcRect/>
                    <a:stretch>
                      <a:fillRect/>
                    </a:stretch>
                  </pic:blipFill>
                  <pic:spPr bwMode="auto">
                    <a:xfrm>
                      <a:off x="0" y="0"/>
                      <a:ext cx="5943600" cy="4098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C85B5D" w:rsidRDefault="00C85B5D"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C85B5D">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C85B5D" w:rsidRDefault="00C85B5D" w:rsidP="00E53AA4">
      <w:pPr>
        <w:pStyle w:val="BodyText"/>
        <w:rPr>
          <w:bCs/>
          <w:iCs/>
          <w:sz w:val="32"/>
          <w:szCs w:val="32"/>
          <w:lang w:val="en-IN"/>
        </w:rPr>
      </w:pPr>
      <w:r w:rsidRPr="00C85B5D">
        <w:rPr>
          <w:b/>
          <w:iCs/>
          <w:sz w:val="28"/>
          <w:szCs w:val="28"/>
          <w:lang w:val="en-IN"/>
        </w:rPr>
        <w:t xml:space="preserve">    </w:t>
      </w:r>
      <w:r w:rsidRPr="00C85B5D">
        <w:rPr>
          <w:bCs/>
          <w:iCs/>
          <w:sz w:val="32"/>
          <w:szCs w:val="32"/>
          <w:lang w:val="en-IN"/>
        </w:rPr>
        <w:t>This work presents our perspectives on the promise that ML holds in assisting the  implementation of safe, predictive, and reproducible CAP treatments for plasma medicine. Key challenges reported in the literature include the plethora of insitu generated reactive agents, the poorly understood mutual interactions between the plasma and different surfaces, as well as the heterogeneity of process parameters. To present our vision on how ML can transform the current practice of plasma medicine, we organize the discussion around three major subaims: (i) quantification of plasma effects on biological surfaces and predicting treatment outcomes; (ii) real-time diagnostics of plasma and surface characteristics; and (iii) learning-based predictive control of plasma-surface interactions to ensure safe and effective treatment. To demonstrate the potential impact of ML in the aforementioned sub-aims, we draw parallels from other medical domains that feature similar fundamental challenges as plasma medicine, while also reviewing the results of some of the recent investigations on diagnostics and control of CAPs. Although considering each sub-aim (i.e., prediction of treatment outcomes, real-time diagnostics, and learning-based control) independently is critical to examining the impact of ML on different components of the problem, future work must also direct its efforts to combining the independently-developed tools in a comprehensive automated strategy</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85B5D" w:rsidRDefault="00D85058" w:rsidP="00C85B5D">
      <w:pPr>
        <w:pStyle w:val="BodyText"/>
        <w:numPr>
          <w:ilvl w:val="0"/>
          <w:numId w:val="46"/>
        </w:numPr>
        <w:rPr>
          <w:sz w:val="32"/>
          <w:szCs w:val="32"/>
          <w:lang w:val="en-IN"/>
        </w:rPr>
      </w:pPr>
      <w:r w:rsidRPr="00C85B5D">
        <w:rPr>
          <w:sz w:val="32"/>
          <w:szCs w:val="32"/>
          <w:lang w:val="en-IN"/>
        </w:rPr>
        <w:t xml:space="preserve">[1] R. Laurita, A. Miserocchi, M. Ghetti, M. </w:t>
      </w:r>
      <w:r w:rsidRPr="00C85B5D">
        <w:rPr>
          <w:sz w:val="32"/>
          <w:szCs w:val="32"/>
          <w:lang w:val="en-IN"/>
        </w:rPr>
        <w:t>Gherardi, A. Stancampiano, V. Purpura, D. Melandri, P. Minghetti, E. Bondioli, and V. Colombo, “Cold atmospheric plasma treatment of infected skin tissue: evaluation of sterility, viability, and integrity,” IEEE Transactions on Radiation and Plasma Medical</w:t>
      </w:r>
      <w:r w:rsidRPr="00C85B5D">
        <w:rPr>
          <w:sz w:val="32"/>
          <w:szCs w:val="32"/>
          <w:lang w:val="en-IN"/>
        </w:rPr>
        <w:t xml:space="preserve"> Sciences, vol. 1, no. 3, pp. 275–279, 2017. </w:t>
      </w:r>
    </w:p>
    <w:p w:rsidR="00000000" w:rsidRPr="00C85B5D" w:rsidRDefault="00D85058" w:rsidP="00C85B5D">
      <w:pPr>
        <w:pStyle w:val="BodyText"/>
        <w:numPr>
          <w:ilvl w:val="0"/>
          <w:numId w:val="46"/>
        </w:numPr>
        <w:rPr>
          <w:sz w:val="32"/>
          <w:szCs w:val="32"/>
          <w:lang w:val="en-IN"/>
        </w:rPr>
      </w:pPr>
      <w:r w:rsidRPr="00C85B5D">
        <w:rPr>
          <w:sz w:val="32"/>
          <w:szCs w:val="32"/>
          <w:lang w:val="en-IN"/>
        </w:rPr>
        <w:t>[2] P. Lukes, E. Dolezalova, I. Sisrova, and M. Clupek, “Aqueous-phase chemistry and bactericidal effects from an air discharge plasma in contact with water: evidence for the formation of peroxynitrite through</w:t>
      </w:r>
      <w:r w:rsidRPr="00C85B5D">
        <w:rPr>
          <w:sz w:val="32"/>
          <w:szCs w:val="32"/>
          <w:lang w:val="en-IN"/>
        </w:rPr>
        <w:t xml:space="preserve"> a pseudo-second-order post-discharge reaction of h2o2 and hno2,” Plasma Sources Science and Technology, vol. 23, no. 1, p. 015019, 2014. </w:t>
      </w:r>
    </w:p>
    <w:p w:rsidR="00000000" w:rsidRPr="00C85B5D" w:rsidRDefault="00D85058" w:rsidP="00C85B5D">
      <w:pPr>
        <w:pStyle w:val="BodyText"/>
        <w:numPr>
          <w:ilvl w:val="0"/>
          <w:numId w:val="46"/>
        </w:numPr>
        <w:rPr>
          <w:sz w:val="32"/>
          <w:szCs w:val="32"/>
          <w:lang w:val="en-IN"/>
        </w:rPr>
      </w:pPr>
      <w:r w:rsidRPr="00C85B5D">
        <w:rPr>
          <w:sz w:val="32"/>
          <w:szCs w:val="32"/>
          <w:lang w:val="en-IN"/>
        </w:rPr>
        <w:t xml:space="preserve">[3] B. Haertel, T. Von Woedtke, K.-D. Weltmann, and U. Lindequist, “Nonthermal atmospheric-pressure plasma possible </w:t>
      </w:r>
      <w:r w:rsidRPr="00C85B5D">
        <w:rPr>
          <w:sz w:val="32"/>
          <w:szCs w:val="32"/>
          <w:lang w:val="en-IN"/>
        </w:rPr>
        <w:t xml:space="preserve">application in wound healing,” Biomolecules &amp; therapeutics, vol. 22, no. 6, pp. 477–490, 2014. </w:t>
      </w:r>
    </w:p>
    <w:p w:rsidR="00000000" w:rsidRPr="00C85B5D" w:rsidRDefault="00D85058" w:rsidP="00C85B5D">
      <w:pPr>
        <w:pStyle w:val="BodyText"/>
        <w:numPr>
          <w:ilvl w:val="0"/>
          <w:numId w:val="46"/>
        </w:numPr>
        <w:rPr>
          <w:sz w:val="32"/>
          <w:szCs w:val="32"/>
          <w:lang w:val="en-IN"/>
        </w:rPr>
      </w:pPr>
      <w:r w:rsidRPr="00C85B5D">
        <w:rPr>
          <w:sz w:val="32"/>
          <w:szCs w:val="32"/>
          <w:lang w:val="en-IN"/>
        </w:rPr>
        <w:t xml:space="preserve">[4] A. Schmidt, S. Bekeschus, K. Wende, B. Vollmar, and T. von Woedtke, “A cold plasma jet accelerates wound healing in a murine model of </w:t>
      </w:r>
      <w:r w:rsidRPr="00C85B5D">
        <w:rPr>
          <w:sz w:val="32"/>
          <w:szCs w:val="32"/>
          <w:lang w:val="en-IN"/>
        </w:rPr>
        <w:t xml:space="preserve">full-thickness skin wounds,” Experimental dermatology, vol. 26, no. 2, pp. 156–162, 2017. </w:t>
      </w:r>
    </w:p>
    <w:p w:rsidR="00000000" w:rsidRPr="00C85B5D" w:rsidRDefault="00D85058" w:rsidP="00C85B5D">
      <w:pPr>
        <w:pStyle w:val="BodyText"/>
        <w:numPr>
          <w:ilvl w:val="0"/>
          <w:numId w:val="46"/>
        </w:numPr>
        <w:rPr>
          <w:sz w:val="32"/>
          <w:szCs w:val="32"/>
          <w:lang w:val="en-IN"/>
        </w:rPr>
      </w:pPr>
      <w:r w:rsidRPr="00C85B5D">
        <w:rPr>
          <w:sz w:val="32"/>
          <w:szCs w:val="32"/>
          <w:lang w:val="en-IN"/>
        </w:rPr>
        <w:t>[5] X. Dong, A. C. Ritts, C. Staller, Q. Yu, M. Chen, and Y. Wang, “Evaluation of plasma treatment effects on improving adhesive–</w:t>
      </w:r>
      <w:r w:rsidRPr="00C85B5D">
        <w:rPr>
          <w:sz w:val="32"/>
          <w:szCs w:val="32"/>
          <w:lang w:val="en-IN"/>
        </w:rPr>
        <w:lastRenderedPageBreak/>
        <w:t>dentin bonding by using the same to</w:t>
      </w:r>
      <w:r w:rsidRPr="00C85B5D">
        <w:rPr>
          <w:sz w:val="32"/>
          <w:szCs w:val="32"/>
          <w:lang w:val="en-IN"/>
        </w:rPr>
        <w:t>oth controls and varying cross-sectional surface areas,” European journal of oral sciences, vol. 121, no. 4, pp. 355–362, 2013</w:t>
      </w:r>
      <w:r w:rsidRPr="00C85B5D">
        <w:rPr>
          <w:sz w:val="32"/>
          <w:szCs w:val="32"/>
        </w:rPr>
        <w:t xml:space="preserve"> </w:t>
      </w:r>
    </w:p>
    <w:p w:rsidR="00000000" w:rsidRPr="00C85B5D" w:rsidRDefault="00D85058" w:rsidP="00C85B5D">
      <w:pPr>
        <w:pStyle w:val="BodyText"/>
        <w:numPr>
          <w:ilvl w:val="0"/>
          <w:numId w:val="46"/>
        </w:numPr>
        <w:rPr>
          <w:sz w:val="32"/>
          <w:szCs w:val="32"/>
          <w:lang w:val="en-IN"/>
        </w:rPr>
      </w:pPr>
      <w:r w:rsidRPr="00C85B5D">
        <w:rPr>
          <w:sz w:val="32"/>
          <w:szCs w:val="32"/>
          <w:lang w:val="en-IN"/>
        </w:rPr>
        <w:t>[6] A. Stancampiano, D. Forgione, E. Simoncelli, R. Laurita, R. Tonini, M. Gherardi, and V. Colombo, “The effect of cold atmosp</w:t>
      </w:r>
      <w:r w:rsidRPr="00C85B5D">
        <w:rPr>
          <w:sz w:val="32"/>
          <w:szCs w:val="32"/>
          <w:lang w:val="en-IN"/>
        </w:rPr>
        <w:t xml:space="preserve">heric plasma (cap) treatment at the adhesive-root dentin interface.” The journal of adhesive dentistry, vol. 21, no. 3, pp. 229–237, 2019. </w:t>
      </w:r>
    </w:p>
    <w:p w:rsidR="00000000" w:rsidRPr="00C85B5D" w:rsidRDefault="00D85058" w:rsidP="00C85B5D">
      <w:pPr>
        <w:pStyle w:val="BodyText"/>
        <w:numPr>
          <w:ilvl w:val="0"/>
          <w:numId w:val="46"/>
        </w:numPr>
        <w:rPr>
          <w:sz w:val="32"/>
          <w:szCs w:val="32"/>
          <w:lang w:val="en-IN"/>
        </w:rPr>
      </w:pPr>
      <w:r w:rsidRPr="00C85B5D">
        <w:rPr>
          <w:sz w:val="32"/>
          <w:szCs w:val="32"/>
          <w:lang w:val="en-IN"/>
        </w:rPr>
        <w:t>[7] E. Turrini, R. Laurita, E. Simoncelli, A. Stancampiano, E. Catanzaro, C. Calcabrini, G. Carulli, M. Rousseau, M</w:t>
      </w:r>
      <w:r w:rsidRPr="00C85B5D">
        <w:rPr>
          <w:sz w:val="32"/>
          <w:szCs w:val="32"/>
          <w:lang w:val="en-IN"/>
        </w:rPr>
        <w:t xml:space="preserve">. Gherardi, F. Maffei et al., “Plasma-activated medium as an innovative anticancer strategy: Insight into its cellular and molecular impact on in vitro leukemia cells,” Plasma Processes and Polymers, pp. 1–14, 2020. </w:t>
      </w:r>
    </w:p>
    <w:p w:rsidR="00000000" w:rsidRPr="00C85B5D" w:rsidRDefault="00D85058" w:rsidP="00C85B5D">
      <w:pPr>
        <w:pStyle w:val="BodyText"/>
        <w:numPr>
          <w:ilvl w:val="0"/>
          <w:numId w:val="46"/>
        </w:numPr>
        <w:rPr>
          <w:sz w:val="32"/>
          <w:szCs w:val="32"/>
          <w:lang w:val="en-IN"/>
        </w:rPr>
      </w:pPr>
      <w:r w:rsidRPr="00C85B5D">
        <w:rPr>
          <w:sz w:val="32"/>
          <w:szCs w:val="32"/>
          <w:lang w:val="en-IN"/>
        </w:rPr>
        <w:t>[8] D. B. Graves, “Reactive species fr</w:t>
      </w:r>
      <w:r w:rsidRPr="00C85B5D">
        <w:rPr>
          <w:sz w:val="32"/>
          <w:szCs w:val="32"/>
          <w:lang w:val="en-IN"/>
        </w:rPr>
        <w:t xml:space="preserve">om cold atmospheric plasma: implications for cancer therapy,” Plasma Processes and Polymers, vol. 11, no. 12, pp. 1120–1127, 2014. </w:t>
      </w:r>
    </w:p>
    <w:p w:rsidR="00000000" w:rsidRPr="00C85B5D" w:rsidRDefault="00D85058" w:rsidP="00C85B5D">
      <w:pPr>
        <w:pStyle w:val="BodyText"/>
        <w:numPr>
          <w:ilvl w:val="0"/>
          <w:numId w:val="46"/>
        </w:numPr>
        <w:rPr>
          <w:sz w:val="32"/>
          <w:szCs w:val="32"/>
          <w:lang w:val="en-IN"/>
        </w:rPr>
      </w:pPr>
      <w:r w:rsidRPr="00C85B5D">
        <w:rPr>
          <w:sz w:val="32"/>
          <w:szCs w:val="32"/>
          <w:lang w:val="en-IN"/>
        </w:rPr>
        <w:t>[9] M. G. Kong, G. Kroesen, G. Morfill, T. Nosenko, T. Shimizu, J. Van Dijk, and J. Zimmermann, “Plasma medicine: an introd</w:t>
      </w:r>
      <w:r w:rsidRPr="00C85B5D">
        <w:rPr>
          <w:sz w:val="32"/>
          <w:szCs w:val="32"/>
          <w:lang w:val="en-IN"/>
        </w:rPr>
        <w:t xml:space="preserve">uctory review,” new Journal of Physics, vol. 11, no. 11, p. 115012, 2009. </w:t>
      </w:r>
    </w:p>
    <w:p w:rsidR="00000000" w:rsidRPr="00C85B5D" w:rsidRDefault="00D85058" w:rsidP="00C85B5D">
      <w:pPr>
        <w:pStyle w:val="BodyText"/>
        <w:numPr>
          <w:ilvl w:val="0"/>
          <w:numId w:val="46"/>
        </w:numPr>
        <w:rPr>
          <w:sz w:val="32"/>
          <w:szCs w:val="32"/>
          <w:lang w:val="en-IN"/>
        </w:rPr>
      </w:pPr>
      <w:r w:rsidRPr="00C85B5D">
        <w:rPr>
          <w:sz w:val="32"/>
          <w:szCs w:val="32"/>
          <w:lang w:val="en-IN"/>
        </w:rPr>
        <w:t>[10] I. Adamovich, S. D. Baalrud, A. Bogaerts, P. Bruggeman, M. Cappelli, V. Colombo, U. Czarnetzki, U. Ebert, J. G. Eden, P. Favia et al., “The 2017 plasma roadmap: Low temperatur</w:t>
      </w:r>
      <w:r w:rsidRPr="00C85B5D">
        <w:rPr>
          <w:sz w:val="32"/>
          <w:szCs w:val="32"/>
          <w:lang w:val="en-IN"/>
        </w:rPr>
        <w:t xml:space="preserve">e plasma </w:t>
      </w:r>
      <w:r w:rsidRPr="00C85B5D">
        <w:rPr>
          <w:sz w:val="32"/>
          <w:szCs w:val="32"/>
          <w:lang w:val="en-IN"/>
        </w:rPr>
        <w:lastRenderedPageBreak/>
        <w:t xml:space="preserve">science and technology,” Journal of Physics D: Applied Physics, vol. 50, no. 32, p. 323001,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058" w:rsidRDefault="00D85058" w:rsidP="003654DF">
      <w:pPr>
        <w:spacing w:after="0" w:line="240" w:lineRule="auto"/>
      </w:pPr>
      <w:r>
        <w:separator/>
      </w:r>
    </w:p>
  </w:endnote>
  <w:endnote w:type="continuationSeparator" w:id="1">
    <w:p w:rsidR="00D85058" w:rsidRDefault="00D850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058" w:rsidRDefault="00D85058" w:rsidP="003654DF">
      <w:pPr>
        <w:spacing w:after="0" w:line="240" w:lineRule="auto"/>
      </w:pPr>
      <w:r>
        <w:separator/>
      </w:r>
    </w:p>
  </w:footnote>
  <w:footnote w:type="continuationSeparator" w:id="1">
    <w:p w:rsidR="00D85058" w:rsidRDefault="00D850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939B0">
        <w:pPr>
          <w:pStyle w:val="Header"/>
          <w:jc w:val="right"/>
        </w:pPr>
        <w:fldSimple w:instr=" PAGE   \* MERGEFORMAT ">
          <w:r w:rsidR="00C46889">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740A"/>
    <w:multiLevelType w:val="hybridMultilevel"/>
    <w:tmpl w:val="014AABA4"/>
    <w:lvl w:ilvl="0" w:tplc="503C6076">
      <w:start w:val="1"/>
      <w:numFmt w:val="bullet"/>
      <w:lvlText w:val=""/>
      <w:lvlJc w:val="left"/>
      <w:pPr>
        <w:tabs>
          <w:tab w:val="num" w:pos="720"/>
        </w:tabs>
        <w:ind w:left="720" w:hanging="360"/>
      </w:pPr>
      <w:rPr>
        <w:rFonts w:ascii="Wingdings 2" w:hAnsi="Wingdings 2" w:hint="default"/>
      </w:rPr>
    </w:lvl>
    <w:lvl w:ilvl="1" w:tplc="F0DCABA0" w:tentative="1">
      <w:start w:val="1"/>
      <w:numFmt w:val="bullet"/>
      <w:lvlText w:val=""/>
      <w:lvlJc w:val="left"/>
      <w:pPr>
        <w:tabs>
          <w:tab w:val="num" w:pos="1440"/>
        </w:tabs>
        <w:ind w:left="1440" w:hanging="360"/>
      </w:pPr>
      <w:rPr>
        <w:rFonts w:ascii="Wingdings 2" w:hAnsi="Wingdings 2" w:hint="default"/>
      </w:rPr>
    </w:lvl>
    <w:lvl w:ilvl="2" w:tplc="9A0E8D5E" w:tentative="1">
      <w:start w:val="1"/>
      <w:numFmt w:val="bullet"/>
      <w:lvlText w:val=""/>
      <w:lvlJc w:val="left"/>
      <w:pPr>
        <w:tabs>
          <w:tab w:val="num" w:pos="2160"/>
        </w:tabs>
        <w:ind w:left="2160" w:hanging="360"/>
      </w:pPr>
      <w:rPr>
        <w:rFonts w:ascii="Wingdings 2" w:hAnsi="Wingdings 2" w:hint="default"/>
      </w:rPr>
    </w:lvl>
    <w:lvl w:ilvl="3" w:tplc="C3D8C3BE" w:tentative="1">
      <w:start w:val="1"/>
      <w:numFmt w:val="bullet"/>
      <w:lvlText w:val=""/>
      <w:lvlJc w:val="left"/>
      <w:pPr>
        <w:tabs>
          <w:tab w:val="num" w:pos="2880"/>
        </w:tabs>
        <w:ind w:left="2880" w:hanging="360"/>
      </w:pPr>
      <w:rPr>
        <w:rFonts w:ascii="Wingdings 2" w:hAnsi="Wingdings 2" w:hint="default"/>
      </w:rPr>
    </w:lvl>
    <w:lvl w:ilvl="4" w:tplc="E28CD702" w:tentative="1">
      <w:start w:val="1"/>
      <w:numFmt w:val="bullet"/>
      <w:lvlText w:val=""/>
      <w:lvlJc w:val="left"/>
      <w:pPr>
        <w:tabs>
          <w:tab w:val="num" w:pos="3600"/>
        </w:tabs>
        <w:ind w:left="3600" w:hanging="360"/>
      </w:pPr>
      <w:rPr>
        <w:rFonts w:ascii="Wingdings 2" w:hAnsi="Wingdings 2" w:hint="default"/>
      </w:rPr>
    </w:lvl>
    <w:lvl w:ilvl="5" w:tplc="E5C433DC" w:tentative="1">
      <w:start w:val="1"/>
      <w:numFmt w:val="bullet"/>
      <w:lvlText w:val=""/>
      <w:lvlJc w:val="left"/>
      <w:pPr>
        <w:tabs>
          <w:tab w:val="num" w:pos="4320"/>
        </w:tabs>
        <w:ind w:left="4320" w:hanging="360"/>
      </w:pPr>
      <w:rPr>
        <w:rFonts w:ascii="Wingdings 2" w:hAnsi="Wingdings 2" w:hint="default"/>
      </w:rPr>
    </w:lvl>
    <w:lvl w:ilvl="6" w:tplc="E97860DC" w:tentative="1">
      <w:start w:val="1"/>
      <w:numFmt w:val="bullet"/>
      <w:lvlText w:val=""/>
      <w:lvlJc w:val="left"/>
      <w:pPr>
        <w:tabs>
          <w:tab w:val="num" w:pos="5040"/>
        </w:tabs>
        <w:ind w:left="5040" w:hanging="360"/>
      </w:pPr>
      <w:rPr>
        <w:rFonts w:ascii="Wingdings 2" w:hAnsi="Wingdings 2" w:hint="default"/>
      </w:rPr>
    </w:lvl>
    <w:lvl w:ilvl="7" w:tplc="2C92525C" w:tentative="1">
      <w:start w:val="1"/>
      <w:numFmt w:val="bullet"/>
      <w:lvlText w:val=""/>
      <w:lvlJc w:val="left"/>
      <w:pPr>
        <w:tabs>
          <w:tab w:val="num" w:pos="5760"/>
        </w:tabs>
        <w:ind w:left="5760" w:hanging="360"/>
      </w:pPr>
      <w:rPr>
        <w:rFonts w:ascii="Wingdings 2" w:hAnsi="Wingdings 2" w:hint="default"/>
      </w:rPr>
    </w:lvl>
    <w:lvl w:ilvl="8" w:tplc="F3A239D2" w:tentative="1">
      <w:start w:val="1"/>
      <w:numFmt w:val="bullet"/>
      <w:lvlText w:val=""/>
      <w:lvlJc w:val="left"/>
      <w:pPr>
        <w:tabs>
          <w:tab w:val="num" w:pos="6480"/>
        </w:tabs>
        <w:ind w:left="6480" w:hanging="360"/>
      </w:pPr>
      <w:rPr>
        <w:rFonts w:ascii="Wingdings 2" w:hAnsi="Wingdings 2" w:hint="default"/>
      </w:rPr>
    </w:lvl>
  </w:abstractNum>
  <w:abstractNum w:abstractNumId="1">
    <w:nsid w:val="00F0170E"/>
    <w:multiLevelType w:val="hybridMultilevel"/>
    <w:tmpl w:val="5EF426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E36A19"/>
    <w:multiLevelType w:val="hybridMultilevel"/>
    <w:tmpl w:val="223011FA"/>
    <w:lvl w:ilvl="0" w:tplc="1DBAC43C">
      <w:start w:val="1"/>
      <w:numFmt w:val="bullet"/>
      <w:lvlText w:val=""/>
      <w:lvlJc w:val="left"/>
      <w:pPr>
        <w:tabs>
          <w:tab w:val="num" w:pos="720"/>
        </w:tabs>
        <w:ind w:left="720" w:hanging="360"/>
      </w:pPr>
      <w:rPr>
        <w:rFonts w:ascii="Wingdings 2" w:hAnsi="Wingdings 2" w:hint="default"/>
      </w:rPr>
    </w:lvl>
    <w:lvl w:ilvl="1" w:tplc="EC922324" w:tentative="1">
      <w:start w:val="1"/>
      <w:numFmt w:val="bullet"/>
      <w:lvlText w:val=""/>
      <w:lvlJc w:val="left"/>
      <w:pPr>
        <w:tabs>
          <w:tab w:val="num" w:pos="1440"/>
        </w:tabs>
        <w:ind w:left="1440" w:hanging="360"/>
      </w:pPr>
      <w:rPr>
        <w:rFonts w:ascii="Wingdings 2" w:hAnsi="Wingdings 2" w:hint="default"/>
      </w:rPr>
    </w:lvl>
    <w:lvl w:ilvl="2" w:tplc="7F1CE448" w:tentative="1">
      <w:start w:val="1"/>
      <w:numFmt w:val="bullet"/>
      <w:lvlText w:val=""/>
      <w:lvlJc w:val="left"/>
      <w:pPr>
        <w:tabs>
          <w:tab w:val="num" w:pos="2160"/>
        </w:tabs>
        <w:ind w:left="2160" w:hanging="360"/>
      </w:pPr>
      <w:rPr>
        <w:rFonts w:ascii="Wingdings 2" w:hAnsi="Wingdings 2" w:hint="default"/>
      </w:rPr>
    </w:lvl>
    <w:lvl w:ilvl="3" w:tplc="53B80B40" w:tentative="1">
      <w:start w:val="1"/>
      <w:numFmt w:val="bullet"/>
      <w:lvlText w:val=""/>
      <w:lvlJc w:val="left"/>
      <w:pPr>
        <w:tabs>
          <w:tab w:val="num" w:pos="2880"/>
        </w:tabs>
        <w:ind w:left="2880" w:hanging="360"/>
      </w:pPr>
      <w:rPr>
        <w:rFonts w:ascii="Wingdings 2" w:hAnsi="Wingdings 2" w:hint="default"/>
      </w:rPr>
    </w:lvl>
    <w:lvl w:ilvl="4" w:tplc="E9E8F354" w:tentative="1">
      <w:start w:val="1"/>
      <w:numFmt w:val="bullet"/>
      <w:lvlText w:val=""/>
      <w:lvlJc w:val="left"/>
      <w:pPr>
        <w:tabs>
          <w:tab w:val="num" w:pos="3600"/>
        </w:tabs>
        <w:ind w:left="3600" w:hanging="360"/>
      </w:pPr>
      <w:rPr>
        <w:rFonts w:ascii="Wingdings 2" w:hAnsi="Wingdings 2" w:hint="default"/>
      </w:rPr>
    </w:lvl>
    <w:lvl w:ilvl="5" w:tplc="7FB81ADE" w:tentative="1">
      <w:start w:val="1"/>
      <w:numFmt w:val="bullet"/>
      <w:lvlText w:val=""/>
      <w:lvlJc w:val="left"/>
      <w:pPr>
        <w:tabs>
          <w:tab w:val="num" w:pos="4320"/>
        </w:tabs>
        <w:ind w:left="4320" w:hanging="360"/>
      </w:pPr>
      <w:rPr>
        <w:rFonts w:ascii="Wingdings 2" w:hAnsi="Wingdings 2" w:hint="default"/>
      </w:rPr>
    </w:lvl>
    <w:lvl w:ilvl="6" w:tplc="23409C0C" w:tentative="1">
      <w:start w:val="1"/>
      <w:numFmt w:val="bullet"/>
      <w:lvlText w:val=""/>
      <w:lvlJc w:val="left"/>
      <w:pPr>
        <w:tabs>
          <w:tab w:val="num" w:pos="5040"/>
        </w:tabs>
        <w:ind w:left="5040" w:hanging="360"/>
      </w:pPr>
      <w:rPr>
        <w:rFonts w:ascii="Wingdings 2" w:hAnsi="Wingdings 2" w:hint="default"/>
      </w:rPr>
    </w:lvl>
    <w:lvl w:ilvl="7" w:tplc="1ABE3304" w:tentative="1">
      <w:start w:val="1"/>
      <w:numFmt w:val="bullet"/>
      <w:lvlText w:val=""/>
      <w:lvlJc w:val="left"/>
      <w:pPr>
        <w:tabs>
          <w:tab w:val="num" w:pos="5760"/>
        </w:tabs>
        <w:ind w:left="5760" w:hanging="360"/>
      </w:pPr>
      <w:rPr>
        <w:rFonts w:ascii="Wingdings 2" w:hAnsi="Wingdings 2" w:hint="default"/>
      </w:rPr>
    </w:lvl>
    <w:lvl w:ilvl="8" w:tplc="8000FB3C"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5E50E6"/>
    <w:multiLevelType w:val="hybridMultilevel"/>
    <w:tmpl w:val="90A0EB54"/>
    <w:lvl w:ilvl="0" w:tplc="72406F48">
      <w:start w:val="1"/>
      <w:numFmt w:val="bullet"/>
      <w:lvlText w:val=""/>
      <w:lvlJc w:val="left"/>
      <w:pPr>
        <w:tabs>
          <w:tab w:val="num" w:pos="720"/>
        </w:tabs>
        <w:ind w:left="720" w:hanging="360"/>
      </w:pPr>
      <w:rPr>
        <w:rFonts w:ascii="Wingdings 2" w:hAnsi="Wingdings 2" w:hint="default"/>
      </w:rPr>
    </w:lvl>
    <w:lvl w:ilvl="1" w:tplc="AA0AD866" w:tentative="1">
      <w:start w:val="1"/>
      <w:numFmt w:val="bullet"/>
      <w:lvlText w:val=""/>
      <w:lvlJc w:val="left"/>
      <w:pPr>
        <w:tabs>
          <w:tab w:val="num" w:pos="1440"/>
        </w:tabs>
        <w:ind w:left="1440" w:hanging="360"/>
      </w:pPr>
      <w:rPr>
        <w:rFonts w:ascii="Wingdings 2" w:hAnsi="Wingdings 2" w:hint="default"/>
      </w:rPr>
    </w:lvl>
    <w:lvl w:ilvl="2" w:tplc="7A22D456" w:tentative="1">
      <w:start w:val="1"/>
      <w:numFmt w:val="bullet"/>
      <w:lvlText w:val=""/>
      <w:lvlJc w:val="left"/>
      <w:pPr>
        <w:tabs>
          <w:tab w:val="num" w:pos="2160"/>
        </w:tabs>
        <w:ind w:left="2160" w:hanging="360"/>
      </w:pPr>
      <w:rPr>
        <w:rFonts w:ascii="Wingdings 2" w:hAnsi="Wingdings 2" w:hint="default"/>
      </w:rPr>
    </w:lvl>
    <w:lvl w:ilvl="3" w:tplc="911EBC06" w:tentative="1">
      <w:start w:val="1"/>
      <w:numFmt w:val="bullet"/>
      <w:lvlText w:val=""/>
      <w:lvlJc w:val="left"/>
      <w:pPr>
        <w:tabs>
          <w:tab w:val="num" w:pos="2880"/>
        </w:tabs>
        <w:ind w:left="2880" w:hanging="360"/>
      </w:pPr>
      <w:rPr>
        <w:rFonts w:ascii="Wingdings 2" w:hAnsi="Wingdings 2" w:hint="default"/>
      </w:rPr>
    </w:lvl>
    <w:lvl w:ilvl="4" w:tplc="C36C95FA" w:tentative="1">
      <w:start w:val="1"/>
      <w:numFmt w:val="bullet"/>
      <w:lvlText w:val=""/>
      <w:lvlJc w:val="left"/>
      <w:pPr>
        <w:tabs>
          <w:tab w:val="num" w:pos="3600"/>
        </w:tabs>
        <w:ind w:left="3600" w:hanging="360"/>
      </w:pPr>
      <w:rPr>
        <w:rFonts w:ascii="Wingdings 2" w:hAnsi="Wingdings 2" w:hint="default"/>
      </w:rPr>
    </w:lvl>
    <w:lvl w:ilvl="5" w:tplc="1B668B80" w:tentative="1">
      <w:start w:val="1"/>
      <w:numFmt w:val="bullet"/>
      <w:lvlText w:val=""/>
      <w:lvlJc w:val="left"/>
      <w:pPr>
        <w:tabs>
          <w:tab w:val="num" w:pos="4320"/>
        </w:tabs>
        <w:ind w:left="4320" w:hanging="360"/>
      </w:pPr>
      <w:rPr>
        <w:rFonts w:ascii="Wingdings 2" w:hAnsi="Wingdings 2" w:hint="default"/>
      </w:rPr>
    </w:lvl>
    <w:lvl w:ilvl="6" w:tplc="3CC4A1E2" w:tentative="1">
      <w:start w:val="1"/>
      <w:numFmt w:val="bullet"/>
      <w:lvlText w:val=""/>
      <w:lvlJc w:val="left"/>
      <w:pPr>
        <w:tabs>
          <w:tab w:val="num" w:pos="5040"/>
        </w:tabs>
        <w:ind w:left="5040" w:hanging="360"/>
      </w:pPr>
      <w:rPr>
        <w:rFonts w:ascii="Wingdings 2" w:hAnsi="Wingdings 2" w:hint="default"/>
      </w:rPr>
    </w:lvl>
    <w:lvl w:ilvl="7" w:tplc="CAC6C98C" w:tentative="1">
      <w:start w:val="1"/>
      <w:numFmt w:val="bullet"/>
      <w:lvlText w:val=""/>
      <w:lvlJc w:val="left"/>
      <w:pPr>
        <w:tabs>
          <w:tab w:val="num" w:pos="5760"/>
        </w:tabs>
        <w:ind w:left="5760" w:hanging="360"/>
      </w:pPr>
      <w:rPr>
        <w:rFonts w:ascii="Wingdings 2" w:hAnsi="Wingdings 2" w:hint="default"/>
      </w:rPr>
    </w:lvl>
    <w:lvl w:ilvl="8" w:tplc="7912318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1F7CF2"/>
    <w:multiLevelType w:val="hybridMultilevel"/>
    <w:tmpl w:val="5B7043F0"/>
    <w:lvl w:ilvl="0" w:tplc="9FFC1248">
      <w:start w:val="1"/>
      <w:numFmt w:val="bullet"/>
      <w:lvlText w:val=""/>
      <w:lvlJc w:val="left"/>
      <w:pPr>
        <w:tabs>
          <w:tab w:val="num" w:pos="720"/>
        </w:tabs>
        <w:ind w:left="720" w:hanging="360"/>
      </w:pPr>
      <w:rPr>
        <w:rFonts w:ascii="Wingdings 2" w:hAnsi="Wingdings 2" w:hint="default"/>
      </w:rPr>
    </w:lvl>
    <w:lvl w:ilvl="1" w:tplc="BCBC2894" w:tentative="1">
      <w:start w:val="1"/>
      <w:numFmt w:val="bullet"/>
      <w:lvlText w:val=""/>
      <w:lvlJc w:val="left"/>
      <w:pPr>
        <w:tabs>
          <w:tab w:val="num" w:pos="1440"/>
        </w:tabs>
        <w:ind w:left="1440" w:hanging="360"/>
      </w:pPr>
      <w:rPr>
        <w:rFonts w:ascii="Wingdings 2" w:hAnsi="Wingdings 2" w:hint="default"/>
      </w:rPr>
    </w:lvl>
    <w:lvl w:ilvl="2" w:tplc="18A49600" w:tentative="1">
      <w:start w:val="1"/>
      <w:numFmt w:val="bullet"/>
      <w:lvlText w:val=""/>
      <w:lvlJc w:val="left"/>
      <w:pPr>
        <w:tabs>
          <w:tab w:val="num" w:pos="2160"/>
        </w:tabs>
        <w:ind w:left="2160" w:hanging="360"/>
      </w:pPr>
      <w:rPr>
        <w:rFonts w:ascii="Wingdings 2" w:hAnsi="Wingdings 2" w:hint="default"/>
      </w:rPr>
    </w:lvl>
    <w:lvl w:ilvl="3" w:tplc="E23E0E8C" w:tentative="1">
      <w:start w:val="1"/>
      <w:numFmt w:val="bullet"/>
      <w:lvlText w:val=""/>
      <w:lvlJc w:val="left"/>
      <w:pPr>
        <w:tabs>
          <w:tab w:val="num" w:pos="2880"/>
        </w:tabs>
        <w:ind w:left="2880" w:hanging="360"/>
      </w:pPr>
      <w:rPr>
        <w:rFonts w:ascii="Wingdings 2" w:hAnsi="Wingdings 2" w:hint="default"/>
      </w:rPr>
    </w:lvl>
    <w:lvl w:ilvl="4" w:tplc="529A6346" w:tentative="1">
      <w:start w:val="1"/>
      <w:numFmt w:val="bullet"/>
      <w:lvlText w:val=""/>
      <w:lvlJc w:val="left"/>
      <w:pPr>
        <w:tabs>
          <w:tab w:val="num" w:pos="3600"/>
        </w:tabs>
        <w:ind w:left="3600" w:hanging="360"/>
      </w:pPr>
      <w:rPr>
        <w:rFonts w:ascii="Wingdings 2" w:hAnsi="Wingdings 2" w:hint="default"/>
      </w:rPr>
    </w:lvl>
    <w:lvl w:ilvl="5" w:tplc="D85E2EBE" w:tentative="1">
      <w:start w:val="1"/>
      <w:numFmt w:val="bullet"/>
      <w:lvlText w:val=""/>
      <w:lvlJc w:val="left"/>
      <w:pPr>
        <w:tabs>
          <w:tab w:val="num" w:pos="4320"/>
        </w:tabs>
        <w:ind w:left="4320" w:hanging="360"/>
      </w:pPr>
      <w:rPr>
        <w:rFonts w:ascii="Wingdings 2" w:hAnsi="Wingdings 2" w:hint="default"/>
      </w:rPr>
    </w:lvl>
    <w:lvl w:ilvl="6" w:tplc="B5E00574" w:tentative="1">
      <w:start w:val="1"/>
      <w:numFmt w:val="bullet"/>
      <w:lvlText w:val=""/>
      <w:lvlJc w:val="left"/>
      <w:pPr>
        <w:tabs>
          <w:tab w:val="num" w:pos="5040"/>
        </w:tabs>
        <w:ind w:left="5040" w:hanging="360"/>
      </w:pPr>
      <w:rPr>
        <w:rFonts w:ascii="Wingdings 2" w:hAnsi="Wingdings 2" w:hint="default"/>
      </w:rPr>
    </w:lvl>
    <w:lvl w:ilvl="7" w:tplc="AF583F2C" w:tentative="1">
      <w:start w:val="1"/>
      <w:numFmt w:val="bullet"/>
      <w:lvlText w:val=""/>
      <w:lvlJc w:val="left"/>
      <w:pPr>
        <w:tabs>
          <w:tab w:val="num" w:pos="5760"/>
        </w:tabs>
        <w:ind w:left="5760" w:hanging="360"/>
      </w:pPr>
      <w:rPr>
        <w:rFonts w:ascii="Wingdings 2" w:hAnsi="Wingdings 2" w:hint="default"/>
      </w:rPr>
    </w:lvl>
    <w:lvl w:ilvl="8" w:tplc="D210311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A84F14"/>
    <w:multiLevelType w:val="hybridMultilevel"/>
    <w:tmpl w:val="CA9E85CC"/>
    <w:lvl w:ilvl="0" w:tplc="477CD018">
      <w:start w:val="1"/>
      <w:numFmt w:val="bullet"/>
      <w:lvlText w:val=""/>
      <w:lvlJc w:val="left"/>
      <w:pPr>
        <w:tabs>
          <w:tab w:val="num" w:pos="720"/>
        </w:tabs>
        <w:ind w:left="720" w:hanging="360"/>
      </w:pPr>
      <w:rPr>
        <w:rFonts w:ascii="Wingdings 2" w:hAnsi="Wingdings 2" w:hint="default"/>
      </w:rPr>
    </w:lvl>
    <w:lvl w:ilvl="1" w:tplc="D10C4C5C" w:tentative="1">
      <w:start w:val="1"/>
      <w:numFmt w:val="bullet"/>
      <w:lvlText w:val=""/>
      <w:lvlJc w:val="left"/>
      <w:pPr>
        <w:tabs>
          <w:tab w:val="num" w:pos="1440"/>
        </w:tabs>
        <w:ind w:left="1440" w:hanging="360"/>
      </w:pPr>
      <w:rPr>
        <w:rFonts w:ascii="Wingdings 2" w:hAnsi="Wingdings 2" w:hint="default"/>
      </w:rPr>
    </w:lvl>
    <w:lvl w:ilvl="2" w:tplc="D4B6D7C0" w:tentative="1">
      <w:start w:val="1"/>
      <w:numFmt w:val="bullet"/>
      <w:lvlText w:val=""/>
      <w:lvlJc w:val="left"/>
      <w:pPr>
        <w:tabs>
          <w:tab w:val="num" w:pos="2160"/>
        </w:tabs>
        <w:ind w:left="2160" w:hanging="360"/>
      </w:pPr>
      <w:rPr>
        <w:rFonts w:ascii="Wingdings 2" w:hAnsi="Wingdings 2" w:hint="default"/>
      </w:rPr>
    </w:lvl>
    <w:lvl w:ilvl="3" w:tplc="6BDA0EDE" w:tentative="1">
      <w:start w:val="1"/>
      <w:numFmt w:val="bullet"/>
      <w:lvlText w:val=""/>
      <w:lvlJc w:val="left"/>
      <w:pPr>
        <w:tabs>
          <w:tab w:val="num" w:pos="2880"/>
        </w:tabs>
        <w:ind w:left="2880" w:hanging="360"/>
      </w:pPr>
      <w:rPr>
        <w:rFonts w:ascii="Wingdings 2" w:hAnsi="Wingdings 2" w:hint="default"/>
      </w:rPr>
    </w:lvl>
    <w:lvl w:ilvl="4" w:tplc="B860DB56" w:tentative="1">
      <w:start w:val="1"/>
      <w:numFmt w:val="bullet"/>
      <w:lvlText w:val=""/>
      <w:lvlJc w:val="left"/>
      <w:pPr>
        <w:tabs>
          <w:tab w:val="num" w:pos="3600"/>
        </w:tabs>
        <w:ind w:left="3600" w:hanging="360"/>
      </w:pPr>
      <w:rPr>
        <w:rFonts w:ascii="Wingdings 2" w:hAnsi="Wingdings 2" w:hint="default"/>
      </w:rPr>
    </w:lvl>
    <w:lvl w:ilvl="5" w:tplc="22DA80DA" w:tentative="1">
      <w:start w:val="1"/>
      <w:numFmt w:val="bullet"/>
      <w:lvlText w:val=""/>
      <w:lvlJc w:val="left"/>
      <w:pPr>
        <w:tabs>
          <w:tab w:val="num" w:pos="4320"/>
        </w:tabs>
        <w:ind w:left="4320" w:hanging="360"/>
      </w:pPr>
      <w:rPr>
        <w:rFonts w:ascii="Wingdings 2" w:hAnsi="Wingdings 2" w:hint="default"/>
      </w:rPr>
    </w:lvl>
    <w:lvl w:ilvl="6" w:tplc="B4F4ACBE" w:tentative="1">
      <w:start w:val="1"/>
      <w:numFmt w:val="bullet"/>
      <w:lvlText w:val=""/>
      <w:lvlJc w:val="left"/>
      <w:pPr>
        <w:tabs>
          <w:tab w:val="num" w:pos="5040"/>
        </w:tabs>
        <w:ind w:left="5040" w:hanging="360"/>
      </w:pPr>
      <w:rPr>
        <w:rFonts w:ascii="Wingdings 2" w:hAnsi="Wingdings 2" w:hint="default"/>
      </w:rPr>
    </w:lvl>
    <w:lvl w:ilvl="7" w:tplc="6CC2C3D0" w:tentative="1">
      <w:start w:val="1"/>
      <w:numFmt w:val="bullet"/>
      <w:lvlText w:val=""/>
      <w:lvlJc w:val="left"/>
      <w:pPr>
        <w:tabs>
          <w:tab w:val="num" w:pos="5760"/>
        </w:tabs>
        <w:ind w:left="5760" w:hanging="360"/>
      </w:pPr>
      <w:rPr>
        <w:rFonts w:ascii="Wingdings 2" w:hAnsi="Wingdings 2" w:hint="default"/>
      </w:rPr>
    </w:lvl>
    <w:lvl w:ilvl="8" w:tplc="83BE7D3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3"/>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9"/>
  </w:num>
  <w:num w:numId="18">
    <w:abstractNumId w:val="34"/>
  </w:num>
  <w:num w:numId="19">
    <w:abstractNumId w:val="24"/>
  </w:num>
  <w:num w:numId="20">
    <w:abstractNumId w:val="8"/>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38"/>
  </w:num>
  <w:num w:numId="31">
    <w:abstractNumId w:val="27"/>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36"/>
  </w:num>
  <w:num w:numId="43">
    <w:abstractNumId w:val="0"/>
  </w:num>
  <w:num w:numId="44">
    <w:abstractNumId w:val="1"/>
  </w:num>
  <w:num w:numId="45">
    <w:abstractNumId w:val="29"/>
  </w:num>
  <w:num w:numId="46">
    <w:abstractNumId w:val="41"/>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217"/>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9B0"/>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22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6889"/>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B5D"/>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5058"/>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5710283">
      <w:bodyDiv w:val="1"/>
      <w:marLeft w:val="0"/>
      <w:marRight w:val="0"/>
      <w:marTop w:val="0"/>
      <w:marBottom w:val="0"/>
      <w:divBdr>
        <w:top w:val="none" w:sz="0" w:space="0" w:color="auto"/>
        <w:left w:val="none" w:sz="0" w:space="0" w:color="auto"/>
        <w:bottom w:val="none" w:sz="0" w:space="0" w:color="auto"/>
        <w:right w:val="none" w:sz="0" w:space="0" w:color="auto"/>
      </w:divBdr>
      <w:divsChild>
        <w:div w:id="1253667088">
          <w:marLeft w:val="576"/>
          <w:marRight w:val="0"/>
          <w:marTop w:val="120"/>
          <w:marBottom w:val="0"/>
          <w:divBdr>
            <w:top w:val="none" w:sz="0" w:space="0" w:color="auto"/>
            <w:left w:val="none" w:sz="0" w:space="0" w:color="auto"/>
            <w:bottom w:val="none" w:sz="0" w:space="0" w:color="auto"/>
            <w:right w:val="none" w:sz="0" w:space="0" w:color="auto"/>
          </w:divBdr>
        </w:div>
        <w:div w:id="472020462">
          <w:marLeft w:val="576"/>
          <w:marRight w:val="0"/>
          <w:marTop w:val="120"/>
          <w:marBottom w:val="0"/>
          <w:divBdr>
            <w:top w:val="none" w:sz="0" w:space="0" w:color="auto"/>
            <w:left w:val="none" w:sz="0" w:space="0" w:color="auto"/>
            <w:bottom w:val="none" w:sz="0" w:space="0" w:color="auto"/>
            <w:right w:val="none" w:sz="0" w:space="0" w:color="auto"/>
          </w:divBdr>
        </w:div>
        <w:div w:id="1770739351">
          <w:marLeft w:val="576"/>
          <w:marRight w:val="0"/>
          <w:marTop w:val="120"/>
          <w:marBottom w:val="0"/>
          <w:divBdr>
            <w:top w:val="none" w:sz="0" w:space="0" w:color="auto"/>
            <w:left w:val="none" w:sz="0" w:space="0" w:color="auto"/>
            <w:bottom w:val="none" w:sz="0" w:space="0" w:color="auto"/>
            <w:right w:val="none" w:sz="0" w:space="0" w:color="auto"/>
          </w:divBdr>
        </w:div>
        <w:div w:id="207168420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9053993">
      <w:bodyDiv w:val="1"/>
      <w:marLeft w:val="0"/>
      <w:marRight w:val="0"/>
      <w:marTop w:val="0"/>
      <w:marBottom w:val="0"/>
      <w:divBdr>
        <w:top w:val="none" w:sz="0" w:space="0" w:color="auto"/>
        <w:left w:val="none" w:sz="0" w:space="0" w:color="auto"/>
        <w:bottom w:val="none" w:sz="0" w:space="0" w:color="auto"/>
        <w:right w:val="none" w:sz="0" w:space="0" w:color="auto"/>
      </w:divBdr>
      <w:divsChild>
        <w:div w:id="1687320369">
          <w:marLeft w:val="576"/>
          <w:marRight w:val="0"/>
          <w:marTop w:val="120"/>
          <w:marBottom w:val="0"/>
          <w:divBdr>
            <w:top w:val="none" w:sz="0" w:space="0" w:color="auto"/>
            <w:left w:val="none" w:sz="0" w:space="0" w:color="auto"/>
            <w:bottom w:val="none" w:sz="0" w:space="0" w:color="auto"/>
            <w:right w:val="none" w:sz="0" w:space="0" w:color="auto"/>
          </w:divBdr>
        </w:div>
        <w:div w:id="1335689334">
          <w:marLeft w:val="576"/>
          <w:marRight w:val="0"/>
          <w:marTop w:val="120"/>
          <w:marBottom w:val="0"/>
          <w:divBdr>
            <w:top w:val="none" w:sz="0" w:space="0" w:color="auto"/>
            <w:left w:val="none" w:sz="0" w:space="0" w:color="auto"/>
            <w:bottom w:val="none" w:sz="0" w:space="0" w:color="auto"/>
            <w:right w:val="none" w:sz="0" w:space="0" w:color="auto"/>
          </w:divBdr>
        </w:div>
        <w:div w:id="1084952911">
          <w:marLeft w:val="576"/>
          <w:marRight w:val="0"/>
          <w:marTop w:val="120"/>
          <w:marBottom w:val="0"/>
          <w:divBdr>
            <w:top w:val="none" w:sz="0" w:space="0" w:color="auto"/>
            <w:left w:val="none" w:sz="0" w:space="0" w:color="auto"/>
            <w:bottom w:val="none" w:sz="0" w:space="0" w:color="auto"/>
            <w:right w:val="none" w:sz="0" w:space="0" w:color="auto"/>
          </w:divBdr>
        </w:div>
      </w:divsChild>
    </w:div>
    <w:div w:id="13036614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465258">
      <w:bodyDiv w:val="1"/>
      <w:marLeft w:val="0"/>
      <w:marRight w:val="0"/>
      <w:marTop w:val="0"/>
      <w:marBottom w:val="0"/>
      <w:divBdr>
        <w:top w:val="none" w:sz="0" w:space="0" w:color="auto"/>
        <w:left w:val="none" w:sz="0" w:space="0" w:color="auto"/>
        <w:bottom w:val="none" w:sz="0" w:space="0" w:color="auto"/>
        <w:right w:val="none" w:sz="0" w:space="0" w:color="auto"/>
      </w:divBdr>
      <w:divsChild>
        <w:div w:id="1062798569">
          <w:marLeft w:val="576"/>
          <w:marRight w:val="0"/>
          <w:marTop w:val="120"/>
          <w:marBottom w:val="0"/>
          <w:divBdr>
            <w:top w:val="none" w:sz="0" w:space="0" w:color="auto"/>
            <w:left w:val="none" w:sz="0" w:space="0" w:color="auto"/>
            <w:bottom w:val="none" w:sz="0" w:space="0" w:color="auto"/>
            <w:right w:val="none" w:sz="0" w:space="0" w:color="auto"/>
          </w:divBdr>
        </w:div>
        <w:div w:id="1922644792">
          <w:marLeft w:val="576"/>
          <w:marRight w:val="0"/>
          <w:marTop w:val="120"/>
          <w:marBottom w:val="0"/>
          <w:divBdr>
            <w:top w:val="none" w:sz="0" w:space="0" w:color="auto"/>
            <w:left w:val="none" w:sz="0" w:space="0" w:color="auto"/>
            <w:bottom w:val="none" w:sz="0" w:space="0" w:color="auto"/>
            <w:right w:val="none" w:sz="0" w:space="0" w:color="auto"/>
          </w:divBdr>
        </w:div>
        <w:div w:id="1920022194">
          <w:marLeft w:val="576"/>
          <w:marRight w:val="0"/>
          <w:marTop w:val="120"/>
          <w:marBottom w:val="0"/>
          <w:divBdr>
            <w:top w:val="none" w:sz="0" w:space="0" w:color="auto"/>
            <w:left w:val="none" w:sz="0" w:space="0" w:color="auto"/>
            <w:bottom w:val="none" w:sz="0" w:space="0" w:color="auto"/>
            <w:right w:val="none" w:sz="0" w:space="0" w:color="auto"/>
          </w:divBdr>
        </w:div>
        <w:div w:id="1536309300">
          <w:marLeft w:val="576"/>
          <w:marRight w:val="0"/>
          <w:marTop w:val="120"/>
          <w:marBottom w:val="0"/>
          <w:divBdr>
            <w:top w:val="none" w:sz="0" w:space="0" w:color="auto"/>
            <w:left w:val="none" w:sz="0" w:space="0" w:color="auto"/>
            <w:bottom w:val="none" w:sz="0" w:space="0" w:color="auto"/>
            <w:right w:val="none" w:sz="0" w:space="0" w:color="auto"/>
          </w:divBdr>
        </w:div>
        <w:div w:id="103469223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295115">
      <w:bodyDiv w:val="1"/>
      <w:marLeft w:val="0"/>
      <w:marRight w:val="0"/>
      <w:marTop w:val="0"/>
      <w:marBottom w:val="0"/>
      <w:divBdr>
        <w:top w:val="none" w:sz="0" w:space="0" w:color="auto"/>
        <w:left w:val="none" w:sz="0" w:space="0" w:color="auto"/>
        <w:bottom w:val="none" w:sz="0" w:space="0" w:color="auto"/>
        <w:right w:val="none" w:sz="0" w:space="0" w:color="auto"/>
      </w:divBdr>
      <w:divsChild>
        <w:div w:id="1217663507">
          <w:marLeft w:val="576"/>
          <w:marRight w:val="0"/>
          <w:marTop w:val="120"/>
          <w:marBottom w:val="0"/>
          <w:divBdr>
            <w:top w:val="none" w:sz="0" w:space="0" w:color="auto"/>
            <w:left w:val="none" w:sz="0" w:space="0" w:color="auto"/>
            <w:bottom w:val="none" w:sz="0" w:space="0" w:color="auto"/>
            <w:right w:val="none" w:sz="0" w:space="0" w:color="auto"/>
          </w:divBdr>
        </w:div>
        <w:div w:id="194321861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5344017">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4827466">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1882487">
      <w:bodyDiv w:val="1"/>
      <w:marLeft w:val="0"/>
      <w:marRight w:val="0"/>
      <w:marTop w:val="0"/>
      <w:marBottom w:val="0"/>
      <w:divBdr>
        <w:top w:val="none" w:sz="0" w:space="0" w:color="auto"/>
        <w:left w:val="none" w:sz="0" w:space="0" w:color="auto"/>
        <w:bottom w:val="none" w:sz="0" w:space="0" w:color="auto"/>
        <w:right w:val="none" w:sz="0" w:space="0" w:color="auto"/>
      </w:divBdr>
      <w:divsChild>
        <w:div w:id="363943346">
          <w:marLeft w:val="576"/>
          <w:marRight w:val="0"/>
          <w:marTop w:val="120"/>
          <w:marBottom w:val="0"/>
          <w:divBdr>
            <w:top w:val="none" w:sz="0" w:space="0" w:color="auto"/>
            <w:left w:val="none" w:sz="0" w:space="0" w:color="auto"/>
            <w:bottom w:val="none" w:sz="0" w:space="0" w:color="auto"/>
            <w:right w:val="none" w:sz="0" w:space="0" w:color="auto"/>
          </w:divBdr>
        </w:div>
        <w:div w:id="840119180">
          <w:marLeft w:val="576"/>
          <w:marRight w:val="0"/>
          <w:marTop w:val="120"/>
          <w:marBottom w:val="0"/>
          <w:divBdr>
            <w:top w:val="none" w:sz="0" w:space="0" w:color="auto"/>
            <w:left w:val="none" w:sz="0" w:space="0" w:color="auto"/>
            <w:bottom w:val="none" w:sz="0" w:space="0" w:color="auto"/>
            <w:right w:val="none" w:sz="0" w:space="0" w:color="auto"/>
          </w:divBdr>
        </w:div>
        <w:div w:id="666177290">
          <w:marLeft w:val="576"/>
          <w:marRight w:val="0"/>
          <w:marTop w:val="120"/>
          <w:marBottom w:val="0"/>
          <w:divBdr>
            <w:top w:val="none" w:sz="0" w:space="0" w:color="auto"/>
            <w:left w:val="none" w:sz="0" w:space="0" w:color="auto"/>
            <w:bottom w:val="none" w:sz="0" w:space="0" w:color="auto"/>
            <w:right w:val="none" w:sz="0" w:space="0" w:color="auto"/>
          </w:divBdr>
        </w:div>
        <w:div w:id="217716145">
          <w:marLeft w:val="576"/>
          <w:marRight w:val="0"/>
          <w:marTop w:val="120"/>
          <w:marBottom w:val="0"/>
          <w:divBdr>
            <w:top w:val="none" w:sz="0" w:space="0" w:color="auto"/>
            <w:left w:val="none" w:sz="0" w:space="0" w:color="auto"/>
            <w:bottom w:val="none" w:sz="0" w:space="0" w:color="auto"/>
            <w:right w:val="none" w:sz="0" w:space="0" w:color="auto"/>
          </w:divBdr>
        </w:div>
        <w:div w:id="101758087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2448660">
      <w:bodyDiv w:val="1"/>
      <w:marLeft w:val="0"/>
      <w:marRight w:val="0"/>
      <w:marTop w:val="0"/>
      <w:marBottom w:val="0"/>
      <w:divBdr>
        <w:top w:val="none" w:sz="0" w:space="0" w:color="auto"/>
        <w:left w:val="none" w:sz="0" w:space="0" w:color="auto"/>
        <w:bottom w:val="none" w:sz="0" w:space="0" w:color="auto"/>
        <w:right w:val="none" w:sz="0" w:space="0" w:color="auto"/>
      </w:divBdr>
      <w:divsChild>
        <w:div w:id="1490825628">
          <w:marLeft w:val="576"/>
          <w:marRight w:val="0"/>
          <w:marTop w:val="120"/>
          <w:marBottom w:val="0"/>
          <w:divBdr>
            <w:top w:val="none" w:sz="0" w:space="0" w:color="auto"/>
            <w:left w:val="none" w:sz="0" w:space="0" w:color="auto"/>
            <w:bottom w:val="none" w:sz="0" w:space="0" w:color="auto"/>
            <w:right w:val="none" w:sz="0" w:space="0" w:color="auto"/>
          </w:divBdr>
        </w:div>
        <w:div w:id="855461001">
          <w:marLeft w:val="576"/>
          <w:marRight w:val="0"/>
          <w:marTop w:val="120"/>
          <w:marBottom w:val="0"/>
          <w:divBdr>
            <w:top w:val="none" w:sz="0" w:space="0" w:color="auto"/>
            <w:left w:val="none" w:sz="0" w:space="0" w:color="auto"/>
            <w:bottom w:val="none" w:sz="0" w:space="0" w:color="auto"/>
            <w:right w:val="none" w:sz="0" w:space="0" w:color="auto"/>
          </w:divBdr>
        </w:div>
        <w:div w:id="127606136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17</Pages>
  <Words>2205</Words>
  <Characters>12572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2021-05-10T16:27:00Z</dcterms:modified>
</cp:coreProperties>
</file>