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C0EDF" w:rsidRDefault="00F126E4" w:rsidP="00DC0EDF">
      <w:pPr>
        <w:spacing w:line="360" w:lineRule="auto"/>
        <w:jc w:val="center"/>
        <w:rPr>
          <w:rFonts w:ascii="Times New Roman" w:hAnsi="Times New Roman" w:cs="Times New Roman"/>
          <w:b/>
          <w:bCs/>
          <w:sz w:val="56"/>
          <w:szCs w:val="56"/>
        </w:rPr>
      </w:pPr>
      <w:r w:rsidRPr="00F126E4">
        <w:rPr>
          <w:rFonts w:ascii="Times New Roman" w:hAnsi="Times New Roman" w:cs="Times New Roman"/>
          <w:b/>
          <w:bCs/>
          <w:sz w:val="56"/>
          <w:szCs w:val="56"/>
        </w:rPr>
        <w:t>Smart Portable Pen for Continuous Monitoring of Anaesthetics in Human Serum with Machine Learning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C744B0" w:rsidRPr="00C744B0" w:rsidRDefault="00C744B0" w:rsidP="00C744B0">
      <w:pPr>
        <w:spacing w:line="360" w:lineRule="auto"/>
        <w:jc w:val="both"/>
        <w:rPr>
          <w:rFonts w:ascii="Times New Roman" w:hAnsi="Times New Roman" w:cs="Times New Roman"/>
          <w:bCs/>
          <w:sz w:val="32"/>
          <w:szCs w:val="32"/>
          <w:lang w:val="en-IN"/>
        </w:rPr>
      </w:pPr>
      <w:r w:rsidRPr="00C744B0">
        <w:rPr>
          <w:rFonts w:ascii="Times New Roman" w:hAnsi="Times New Roman" w:cs="Times New Roman"/>
          <w:b/>
          <w:sz w:val="40"/>
          <w:szCs w:val="40"/>
          <w:lang w:val="en-IN"/>
        </w:rPr>
        <w:t xml:space="preserve">    </w:t>
      </w:r>
      <w:r w:rsidRPr="00C744B0">
        <w:rPr>
          <w:rFonts w:ascii="Times New Roman" w:hAnsi="Times New Roman" w:cs="Times New Roman"/>
          <w:bCs/>
          <w:sz w:val="32"/>
          <w:szCs w:val="32"/>
          <w:lang w:val="en-IN"/>
        </w:rPr>
        <w:t>Continuous monitoring of anaesthetics infusion is demanded by anaesthesiologists to help in defining personalized dose, hence reducing risks and side effects. We propose the first piece of technology tailored explicitly to close the loop between anaesthesiologist and patient with continuous drug monitoring. Direct detection of drugs is achieved with electrochemical techniques, and several options are present in literature to measure propofol (widely used anaesthetics). Still, the sensors proposed do not enable in-situ detection, they do not provide this information continuously, and they are based on bulky and costly lab equipment.</w:t>
      </w:r>
    </w:p>
    <w:p w:rsidR="00491919" w:rsidRPr="00C744B0" w:rsidRDefault="00C744B0" w:rsidP="00E53AA4">
      <w:pPr>
        <w:spacing w:line="360" w:lineRule="auto"/>
        <w:jc w:val="both"/>
        <w:rPr>
          <w:rFonts w:ascii="Times New Roman" w:hAnsi="Times New Roman" w:cs="Times New Roman"/>
          <w:bCs/>
          <w:sz w:val="32"/>
          <w:szCs w:val="32"/>
          <w:lang w:val="en-IN"/>
        </w:rPr>
      </w:pPr>
      <w:r w:rsidRPr="00C744B0">
        <w:rPr>
          <w:rFonts w:ascii="Times New Roman" w:hAnsi="Times New Roman" w:cs="Times New Roman"/>
          <w:bCs/>
          <w:sz w:val="32"/>
          <w:szCs w:val="32"/>
          <w:lang w:val="en-IN"/>
        </w:rPr>
        <w:t xml:space="preserve">     In this paper, we present a novel smart pen-shaped electronic system for continuous monitoring of propofol in human serum. The system consists of a needle-shaped sensor, a quasi digital front-end, a smart machine learning data processing, in a single wireless battery-operated embedded device featuring Bluetooth Low Energy (BLE) communication. The system has been tested and characterized in real, undiluted human serum, at 37C. The device features a limit of detection of 3.8M, meeting the requirement of the target application, with an electronics system 59% smaller and 81% less power consuming w.r.t. the state-of-the-art, using a smart machine learning classification for data processing, which guarantees up to twenty continuous measure. </w:t>
      </w:r>
      <w:r w:rsidR="001C4FD2">
        <w:rPr>
          <w:rFonts w:ascii="Times New Roman" w:hAnsi="Times New Roman" w:cs="Times New Roman"/>
          <w:sz w:val="40"/>
          <w:szCs w:val="40"/>
        </w:rPr>
        <w:t xml:space="preserve">        </w:t>
      </w:r>
      <w:r w:rsidR="001513C0">
        <w:rPr>
          <w:rFonts w:ascii="Times New Roman" w:hAnsi="Times New Roman" w:cs="Times New Roman"/>
          <w:sz w:val="40"/>
          <w:szCs w:val="40"/>
        </w:rPr>
        <w:tab/>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744B0" w:rsidRDefault="00A45266" w:rsidP="00C744B0">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C744B0">
        <w:rPr>
          <w:rFonts w:ascii="Times New Roman" w:hAnsi="Times New Roman" w:cs="Times New Roman"/>
          <w:sz w:val="32"/>
          <w:szCs w:val="32"/>
          <w:lang w:val="en-IN"/>
        </w:rPr>
        <w:t xml:space="preserve">Interoperative anaesthetics involves the patient monitoring and drug control management during surgery. </w:t>
      </w:r>
    </w:p>
    <w:p w:rsidR="00000000" w:rsidRPr="00C744B0" w:rsidRDefault="00A45266" w:rsidP="00C744B0">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C744B0">
        <w:rPr>
          <w:rFonts w:ascii="Times New Roman" w:hAnsi="Times New Roman" w:cs="Times New Roman"/>
          <w:sz w:val="32"/>
          <w:szCs w:val="32"/>
          <w:lang w:val="en-IN"/>
        </w:rPr>
        <w:t xml:space="preserve">It requires very accurate and controlled doses of drugs to be administered in a timely fashion. Any </w:t>
      </w:r>
      <w:r w:rsidRPr="00C744B0">
        <w:rPr>
          <w:rFonts w:ascii="Times New Roman" w:hAnsi="Times New Roman" w:cs="Times New Roman"/>
          <w:sz w:val="32"/>
          <w:szCs w:val="32"/>
          <w:lang w:val="en-IN"/>
        </w:rPr>
        <w:t xml:space="preserve">errors in any aspect of the process are extremely dangerous. </w:t>
      </w:r>
    </w:p>
    <w:p w:rsidR="00000000" w:rsidRPr="00C744B0" w:rsidRDefault="00A45266" w:rsidP="00C744B0">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C744B0">
        <w:rPr>
          <w:rFonts w:ascii="Times New Roman" w:hAnsi="Times New Roman" w:cs="Times New Roman"/>
          <w:sz w:val="32"/>
          <w:szCs w:val="32"/>
          <w:lang w:val="en-IN"/>
        </w:rPr>
        <w:t xml:space="preserve">Target-controlled infusion (TCI) is part of anaesthesia delivery in many countries, resulting in the precision, reliability, efficacy, and safety of intravenous (IV) anaesthesia delivery. </w:t>
      </w:r>
    </w:p>
    <w:p w:rsidR="00000000" w:rsidRPr="00C744B0" w:rsidRDefault="00A45266" w:rsidP="00C744B0">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C744B0">
        <w:rPr>
          <w:rFonts w:ascii="Times New Roman" w:hAnsi="Times New Roman" w:cs="Times New Roman"/>
          <w:sz w:val="32"/>
          <w:szCs w:val="32"/>
          <w:lang w:val="en-IN"/>
        </w:rPr>
        <w:t>Adv</w:t>
      </w:r>
      <w:r w:rsidRPr="00C744B0">
        <w:rPr>
          <w:rFonts w:ascii="Times New Roman" w:hAnsi="Times New Roman" w:cs="Times New Roman"/>
          <w:sz w:val="32"/>
          <w:szCs w:val="32"/>
          <w:lang w:val="en-IN"/>
        </w:rPr>
        <w:t>ancement in drug development has primarily modifying the chemical structures of existing drugs to improve their pharmacodynamic, pharmacokinetic, and side effect properties.</w:t>
      </w:r>
      <w:r w:rsidRPr="00C744B0">
        <w:rPr>
          <w:rFonts w:ascii="Times New Roman" w:hAnsi="Times New Roman" w:cs="Times New Roman"/>
          <w:sz w:val="32"/>
          <w:szCs w:val="32"/>
        </w:rPr>
        <w:t xml:space="preserve"> </w:t>
      </w:r>
    </w:p>
    <w:p w:rsidR="00F936BC" w:rsidRDefault="00F936BC" w:rsidP="00C744B0">
      <w:pPr>
        <w:pStyle w:val="ListParagraph"/>
        <w:autoSpaceDE w:val="0"/>
        <w:autoSpaceDN w:val="0"/>
        <w:adjustRightInd w:val="0"/>
        <w:spacing w:line="240" w:lineRule="auto"/>
        <w:ind w:left="1440"/>
        <w:jc w:val="both"/>
        <w:rPr>
          <w:rFonts w:ascii="Times New Roman" w:hAnsi="Times New Roman" w:cs="Times New Roman"/>
          <w:sz w:val="32"/>
          <w:szCs w:val="32"/>
        </w:rPr>
      </w:pP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A42036" w:rsidRPr="00A42036" w:rsidRDefault="00A42036" w:rsidP="00A42036">
      <w:pPr>
        <w:pStyle w:val="ListParagraph"/>
        <w:numPr>
          <w:ilvl w:val="1"/>
          <w:numId w:val="43"/>
        </w:numPr>
        <w:spacing w:line="360" w:lineRule="auto"/>
        <w:jc w:val="both"/>
        <w:rPr>
          <w:rFonts w:ascii="Times New Roman" w:hAnsi="Times New Roman" w:cs="Times New Roman"/>
          <w:bCs/>
          <w:sz w:val="32"/>
          <w:szCs w:val="32"/>
        </w:rPr>
      </w:pPr>
      <w:r w:rsidRPr="00A42036">
        <w:rPr>
          <w:rFonts w:ascii="Times New Roman" w:hAnsi="Times New Roman" w:cs="Times New Roman"/>
          <w:bCs/>
          <w:sz w:val="32"/>
          <w:szCs w:val="32"/>
        </w:rPr>
        <w:t>Propofol is a widely used anesthetic thanks to its many pharmacological properties such as rapid distribution, short action and reduced side effects in post-operative recovery.</w:t>
      </w:r>
    </w:p>
    <w:p w:rsidR="00A42036" w:rsidRPr="00A42036" w:rsidRDefault="00A42036" w:rsidP="00A42036">
      <w:pPr>
        <w:pStyle w:val="ListParagraph"/>
        <w:numPr>
          <w:ilvl w:val="0"/>
          <w:numId w:val="43"/>
        </w:numPr>
        <w:spacing w:line="360" w:lineRule="auto"/>
        <w:jc w:val="both"/>
        <w:rPr>
          <w:rFonts w:ascii="Times New Roman" w:hAnsi="Times New Roman" w:cs="Times New Roman"/>
          <w:bCs/>
          <w:sz w:val="32"/>
          <w:szCs w:val="32"/>
        </w:rPr>
      </w:pPr>
      <w:r w:rsidRPr="00A42036">
        <w:rPr>
          <w:rFonts w:ascii="Times New Roman" w:hAnsi="Times New Roman" w:cs="Times New Roman"/>
          <w:bCs/>
          <w:sz w:val="32"/>
          <w:szCs w:val="32"/>
        </w:rPr>
        <w:t xml:space="preserve">This is known as Pain On Propofol Injection (POPI) and it is still among the most critical problems in the anesthesia current practices. </w:t>
      </w:r>
    </w:p>
    <w:p w:rsidR="00F94960" w:rsidRPr="00A42036" w:rsidRDefault="00A42036" w:rsidP="00E53AA4">
      <w:pPr>
        <w:pStyle w:val="ListParagraph"/>
        <w:numPr>
          <w:ilvl w:val="0"/>
          <w:numId w:val="43"/>
        </w:numPr>
        <w:spacing w:line="360" w:lineRule="auto"/>
        <w:jc w:val="both"/>
        <w:rPr>
          <w:rFonts w:ascii="Times New Roman" w:eastAsia="Times New Roman" w:hAnsi="Times New Roman" w:cs="Times New Roman"/>
          <w:sz w:val="32"/>
          <w:szCs w:val="32"/>
        </w:rPr>
      </w:pPr>
      <w:r w:rsidRPr="00A42036">
        <w:rPr>
          <w:rFonts w:ascii="Times New Roman" w:hAnsi="Times New Roman" w:cs="Times New Roman"/>
          <w:bCs/>
          <w:sz w:val="32"/>
          <w:szCs w:val="32"/>
        </w:rPr>
        <w:t>To reduce POPI effects, other compounds, e.g., paracetamol, are usually administered in combination with propofol  to exploit their antipyretic and analgesic effects</w:t>
      </w:r>
      <w:r w:rsidRPr="00A42036">
        <w:rPr>
          <w:rFonts w:ascii="Times New Roman" w:hAnsi="Times New Roman" w:cs="Times New Roman"/>
          <w:b/>
          <w:sz w:val="36"/>
          <w:szCs w:val="36"/>
        </w:rPr>
        <w:t>.</w:t>
      </w:r>
      <w:r w:rsidR="00BB3207" w:rsidRPr="00A42036">
        <w:rPr>
          <w:rFonts w:ascii="Times New Roman" w:hAnsi="Times New Roman" w:cs="Times New Roman"/>
          <w:b/>
          <w:sz w:val="36"/>
          <w:szCs w:val="36"/>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A42036" w:rsidRPr="00A42036" w:rsidRDefault="00A42036" w:rsidP="00A42036">
      <w:pPr>
        <w:pStyle w:val="NormalWeb"/>
        <w:numPr>
          <w:ilvl w:val="0"/>
          <w:numId w:val="44"/>
        </w:numPr>
        <w:spacing w:before="0" w:beforeAutospacing="0" w:after="0" w:afterAutospacing="0" w:line="360" w:lineRule="auto"/>
        <w:jc w:val="both"/>
        <w:rPr>
          <w:sz w:val="32"/>
          <w:szCs w:val="32"/>
        </w:rPr>
      </w:pPr>
      <w:r w:rsidRPr="00A42036">
        <w:rPr>
          <w:sz w:val="32"/>
          <w:szCs w:val="32"/>
        </w:rPr>
        <w:t xml:space="preserve">The proposed system, on the other hand, is not programmed in this sense at all. Instead, it is "trained", by exposing it to an extensive set of example "inputs" and "desired outputs". </w:t>
      </w:r>
    </w:p>
    <w:p w:rsidR="00A42036" w:rsidRPr="00A42036" w:rsidRDefault="00A42036" w:rsidP="00A42036">
      <w:pPr>
        <w:pStyle w:val="NormalWeb"/>
        <w:numPr>
          <w:ilvl w:val="0"/>
          <w:numId w:val="44"/>
        </w:numPr>
        <w:spacing w:before="0" w:beforeAutospacing="0" w:after="0" w:afterAutospacing="0" w:line="360" w:lineRule="auto"/>
        <w:jc w:val="both"/>
        <w:rPr>
          <w:sz w:val="32"/>
          <w:szCs w:val="32"/>
        </w:rPr>
      </w:pPr>
      <w:r w:rsidRPr="00A42036">
        <w:rPr>
          <w:sz w:val="32"/>
          <w:szCs w:val="32"/>
        </w:rPr>
        <w:t xml:space="preserve">These data are generated by logging all the data from a large number of real operations carried out in the past, under the supervision of human anaesthesiologists. </w:t>
      </w:r>
    </w:p>
    <w:p w:rsidR="00A42036" w:rsidRPr="00A42036" w:rsidRDefault="00A42036" w:rsidP="00A42036">
      <w:pPr>
        <w:pStyle w:val="NormalWeb"/>
        <w:numPr>
          <w:ilvl w:val="0"/>
          <w:numId w:val="44"/>
        </w:numPr>
        <w:spacing w:before="0" w:beforeAutospacing="0" w:after="0" w:afterAutospacing="0" w:line="360" w:lineRule="auto"/>
        <w:jc w:val="both"/>
        <w:rPr>
          <w:sz w:val="32"/>
          <w:szCs w:val="32"/>
        </w:rPr>
      </w:pPr>
      <w:r w:rsidRPr="00A42036">
        <w:rPr>
          <w:sz w:val="32"/>
          <w:szCs w:val="32"/>
        </w:rPr>
        <w:t xml:space="preserve">Using a neural network training algorithm, the system learns to map the inputs into the desired output responses. </w:t>
      </w:r>
    </w:p>
    <w:p w:rsidR="003A5D44" w:rsidRPr="00A42036" w:rsidRDefault="00A42036" w:rsidP="00E53AA4">
      <w:pPr>
        <w:pStyle w:val="NormalWeb"/>
        <w:numPr>
          <w:ilvl w:val="0"/>
          <w:numId w:val="44"/>
        </w:numPr>
        <w:spacing w:before="0" w:beforeAutospacing="0" w:after="0" w:afterAutospacing="0" w:line="360" w:lineRule="auto"/>
        <w:jc w:val="both"/>
        <w:rPr>
          <w:sz w:val="32"/>
          <w:szCs w:val="32"/>
        </w:rPr>
      </w:pPr>
      <w:r w:rsidRPr="00A42036">
        <w:rPr>
          <w:sz w:val="32"/>
          <w:szCs w:val="32"/>
        </w:rPr>
        <w:t>The American Society of Anaesthesiologists (ASA) has proposed a widely-accepted classification scheme to aid pre-operative assessment.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A42036" w:rsidRPr="00A42036" w:rsidRDefault="00A42036" w:rsidP="00A42036">
      <w:pPr>
        <w:pStyle w:val="ListParagraph"/>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rPr>
      </w:pPr>
      <w:r w:rsidRPr="00A42036">
        <w:rPr>
          <w:rFonts w:ascii="Times New Roman" w:eastAsia="AdvGulliv-R" w:hAnsi="Times New Roman" w:cs="Times New Roman"/>
          <w:bCs/>
          <w:sz w:val="32"/>
          <w:szCs w:val="32"/>
        </w:rPr>
        <w:t xml:space="preserve">We have redesigned the front-end hardware of our previous implementation by improving its performances with the aim of providing a robust system for human serum detection. </w:t>
      </w:r>
    </w:p>
    <w:p w:rsidR="00A42036" w:rsidRPr="00A42036" w:rsidRDefault="00A42036" w:rsidP="00A42036">
      <w:pPr>
        <w:pStyle w:val="ListParagraph"/>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rPr>
      </w:pPr>
      <w:r w:rsidRPr="00A42036">
        <w:rPr>
          <w:rFonts w:ascii="Times New Roman" w:eastAsia="AdvGulliv-R" w:hAnsi="Times New Roman" w:cs="Times New Roman"/>
          <w:bCs/>
          <w:sz w:val="32"/>
          <w:szCs w:val="32"/>
        </w:rPr>
        <w:t>In particular, we have re-implemented the analog read-out by introducing a 4th-order filtering block as second amplification stage in cascade with respect to the Trans-Impedance Amplifier (TIA) stage.</w:t>
      </w:r>
    </w:p>
    <w:p w:rsidR="00B31569" w:rsidRPr="00A42036" w:rsidRDefault="00A42036" w:rsidP="00A42036">
      <w:pPr>
        <w:pStyle w:val="ListParagraph"/>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rPr>
      </w:pPr>
      <w:r w:rsidRPr="00A42036">
        <w:rPr>
          <w:rFonts w:ascii="Times New Roman" w:eastAsia="AdvGulliv-R" w:hAnsi="Times New Roman" w:cs="Times New Roman"/>
          <w:bCs/>
          <w:sz w:val="32"/>
          <w:szCs w:val="32"/>
        </w:rPr>
        <w:t>The exchange of the fluxing solutions was done in the 10 s of mixing in order to not interrupt the procedure.</w:t>
      </w:r>
    </w:p>
    <w:p w:rsidR="003437B3" w:rsidRDefault="003437B3"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3437B3" w:rsidRDefault="003437B3"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437"/>
        <w:gridCol w:w="2947"/>
      </w:tblGrid>
      <w:tr w:rsidR="000C407B" w:rsidTr="0031787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437"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2947"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31787C">
        <w:trPr>
          <w:trHeight w:val="2780"/>
        </w:trPr>
        <w:tc>
          <w:tcPr>
            <w:tcW w:w="3192" w:type="dxa"/>
          </w:tcPr>
          <w:p w:rsidR="000C407B" w:rsidRPr="0031787C" w:rsidRDefault="00265779" w:rsidP="00E53AA4">
            <w:pPr>
              <w:tabs>
                <w:tab w:val="left" w:pos="720"/>
              </w:tabs>
              <w:spacing w:after="100" w:line="360" w:lineRule="auto"/>
              <w:jc w:val="both"/>
              <w:rPr>
                <w:rFonts w:ascii="Times New Roman" w:hAnsi="Times New Roman" w:cs="Times New Roman"/>
                <w:sz w:val="32"/>
                <w:szCs w:val="32"/>
              </w:rPr>
            </w:pPr>
            <w:r w:rsidRPr="0031787C">
              <w:rPr>
                <w:rFonts w:ascii="Times New Roman" w:eastAsia="Times New Roman" w:hAnsi="Times New Roman" w:cs="Times New Roman"/>
                <w:sz w:val="32"/>
                <w:szCs w:val="32"/>
                <w:lang w:val="en-IN"/>
              </w:rPr>
              <w:t>Awareness during anesthesia: How sure can we be that the patient is sleeping indeed?</w:t>
            </w:r>
          </w:p>
        </w:tc>
        <w:tc>
          <w:tcPr>
            <w:tcW w:w="3437" w:type="dxa"/>
          </w:tcPr>
          <w:p w:rsidR="000C407B" w:rsidRPr="0031787C" w:rsidRDefault="00265779" w:rsidP="00265779">
            <w:pPr>
              <w:tabs>
                <w:tab w:val="left" w:pos="720"/>
              </w:tabs>
              <w:spacing w:after="100" w:line="360" w:lineRule="auto"/>
              <w:jc w:val="both"/>
              <w:rPr>
                <w:rFonts w:ascii="Times New Roman" w:hAnsi="Times New Roman" w:cs="Times New Roman"/>
                <w:sz w:val="32"/>
                <w:szCs w:val="32"/>
              </w:rPr>
            </w:pPr>
            <w:r w:rsidRPr="0031787C">
              <w:rPr>
                <w:rFonts w:ascii="Times New Roman" w:eastAsia="Times New Roman" w:hAnsi="Times New Roman" w:cs="Times New Roman"/>
                <w:sz w:val="32"/>
                <w:szCs w:val="32"/>
                <w:lang w:val="en-IN"/>
              </w:rPr>
              <w:t xml:space="preserve">G. Kotsovolis and G. Komninos, </w:t>
            </w:r>
          </w:p>
        </w:tc>
        <w:tc>
          <w:tcPr>
            <w:tcW w:w="2947" w:type="dxa"/>
          </w:tcPr>
          <w:p w:rsidR="000C407B" w:rsidRPr="0031787C" w:rsidRDefault="00265779" w:rsidP="00E53AA4">
            <w:pPr>
              <w:tabs>
                <w:tab w:val="left" w:pos="720"/>
              </w:tabs>
              <w:spacing w:after="100" w:line="360" w:lineRule="auto"/>
              <w:jc w:val="both"/>
              <w:rPr>
                <w:rFonts w:ascii="Times New Roman" w:hAnsi="Times New Roman" w:cs="Times New Roman"/>
                <w:sz w:val="32"/>
                <w:szCs w:val="32"/>
              </w:rPr>
            </w:pPr>
            <w:r w:rsidRPr="0031787C">
              <w:rPr>
                <w:rFonts w:ascii="Times New Roman" w:hAnsi="Times New Roman" w:cs="Times New Roman"/>
                <w:color w:val="333333"/>
                <w:sz w:val="32"/>
                <w:szCs w:val="32"/>
                <w:shd w:val="clear" w:color="auto" w:fill="FFFFFF"/>
              </w:rPr>
              <w:t>From all the available devices only the Bispectral Index Monitoring (BIS) has been proven to be effective for this purpose but the high cost per person and the low specificity in preventing awareness episodes do not allow its everyday use.</w:t>
            </w:r>
          </w:p>
        </w:tc>
      </w:tr>
      <w:tr w:rsidR="000C407B" w:rsidTr="0031787C">
        <w:trPr>
          <w:trHeight w:val="2942"/>
        </w:trPr>
        <w:tc>
          <w:tcPr>
            <w:tcW w:w="3192" w:type="dxa"/>
          </w:tcPr>
          <w:p w:rsidR="000C407B" w:rsidRPr="0031787C" w:rsidRDefault="00265779" w:rsidP="00E53AA4">
            <w:pPr>
              <w:tabs>
                <w:tab w:val="left" w:pos="720"/>
              </w:tabs>
              <w:spacing w:after="100" w:line="360" w:lineRule="auto"/>
              <w:jc w:val="both"/>
              <w:rPr>
                <w:rFonts w:ascii="Times New Roman" w:hAnsi="Times New Roman" w:cs="Times New Roman"/>
                <w:sz w:val="32"/>
                <w:szCs w:val="32"/>
              </w:rPr>
            </w:pPr>
            <w:r w:rsidRPr="0031787C">
              <w:rPr>
                <w:rFonts w:ascii="Times New Roman" w:hAnsi="Times New Roman" w:cs="Times New Roman"/>
                <w:sz w:val="32"/>
                <w:szCs w:val="32"/>
              </w:rPr>
              <w:t>General anesthesia, sleep, and coma</w:t>
            </w:r>
          </w:p>
        </w:tc>
        <w:tc>
          <w:tcPr>
            <w:tcW w:w="3437" w:type="dxa"/>
          </w:tcPr>
          <w:p w:rsidR="000C407B" w:rsidRPr="0031787C" w:rsidRDefault="00265779" w:rsidP="00265779">
            <w:pPr>
              <w:tabs>
                <w:tab w:val="left" w:pos="720"/>
              </w:tabs>
              <w:spacing w:after="100" w:line="360" w:lineRule="auto"/>
              <w:jc w:val="both"/>
              <w:rPr>
                <w:rFonts w:ascii="Times New Roman" w:hAnsi="Times New Roman" w:cs="Times New Roman"/>
                <w:sz w:val="32"/>
                <w:szCs w:val="32"/>
              </w:rPr>
            </w:pPr>
            <w:r w:rsidRPr="0031787C">
              <w:rPr>
                <w:rFonts w:ascii="Times New Roman" w:hAnsi="Times New Roman" w:cs="Times New Roman"/>
                <w:sz w:val="32"/>
                <w:szCs w:val="32"/>
              </w:rPr>
              <w:t xml:space="preserve">E. N. Brown, R. Lydic, and N. D. Schiff, </w:t>
            </w:r>
          </w:p>
        </w:tc>
        <w:tc>
          <w:tcPr>
            <w:tcW w:w="2947" w:type="dxa"/>
          </w:tcPr>
          <w:p w:rsidR="000C407B" w:rsidRPr="0031787C" w:rsidRDefault="00265779" w:rsidP="00E53AA4">
            <w:pPr>
              <w:tabs>
                <w:tab w:val="left" w:pos="720"/>
              </w:tabs>
              <w:spacing w:after="100" w:line="360" w:lineRule="auto"/>
              <w:jc w:val="both"/>
              <w:rPr>
                <w:rFonts w:ascii="Times New Roman" w:hAnsi="Times New Roman" w:cs="Times New Roman"/>
                <w:sz w:val="32"/>
                <w:szCs w:val="32"/>
              </w:rPr>
            </w:pPr>
            <w:r w:rsidRPr="0031787C">
              <w:rPr>
                <w:rFonts w:ascii="Times New Roman" w:hAnsi="Times New Roman" w:cs="Times New Roman"/>
                <w:color w:val="333333"/>
                <w:sz w:val="32"/>
                <w:szCs w:val="32"/>
                <w:shd w:val="clear" w:color="auto" w:fill="FFFFFF"/>
              </w:rPr>
              <w:t>Unfortunately, anesthesiologists also use the word “sleep” in technical descriptions to refer to unconsciousness induced by anesthetic drugs.</w:t>
            </w:r>
          </w:p>
        </w:tc>
      </w:tr>
      <w:tr w:rsidR="000C407B" w:rsidTr="0031787C">
        <w:tc>
          <w:tcPr>
            <w:tcW w:w="3192" w:type="dxa"/>
          </w:tcPr>
          <w:p w:rsidR="000C407B" w:rsidRPr="0031787C" w:rsidRDefault="00265779" w:rsidP="00E53AA4">
            <w:pPr>
              <w:tabs>
                <w:tab w:val="left" w:pos="720"/>
              </w:tabs>
              <w:spacing w:after="100" w:line="360" w:lineRule="auto"/>
              <w:jc w:val="both"/>
              <w:rPr>
                <w:rFonts w:ascii="Times New Roman" w:hAnsi="Times New Roman" w:cs="Times New Roman"/>
                <w:sz w:val="32"/>
                <w:szCs w:val="32"/>
              </w:rPr>
            </w:pPr>
            <w:r w:rsidRPr="0031787C">
              <w:rPr>
                <w:rFonts w:ascii="Times New Roman" w:hAnsi="Times New Roman" w:cs="Times New Roman"/>
                <w:sz w:val="32"/>
                <w:szCs w:val="32"/>
              </w:rPr>
              <w:lastRenderedPageBreak/>
              <w:t>Clinical variables related to propofol effect-site concentrations at recovery of consciousness after neurosurgical procedures</w:t>
            </w:r>
          </w:p>
        </w:tc>
        <w:tc>
          <w:tcPr>
            <w:tcW w:w="3437" w:type="dxa"/>
          </w:tcPr>
          <w:p w:rsidR="000C407B" w:rsidRPr="0031787C" w:rsidRDefault="00265779" w:rsidP="00265779">
            <w:pPr>
              <w:tabs>
                <w:tab w:val="left" w:pos="720"/>
              </w:tabs>
              <w:spacing w:after="100" w:line="360" w:lineRule="auto"/>
              <w:jc w:val="both"/>
              <w:rPr>
                <w:rFonts w:ascii="Times New Roman" w:hAnsi="Times New Roman" w:cs="Times New Roman"/>
                <w:sz w:val="32"/>
                <w:szCs w:val="32"/>
              </w:rPr>
            </w:pPr>
            <w:r w:rsidRPr="0031787C">
              <w:rPr>
                <w:rFonts w:ascii="Times New Roman" w:hAnsi="Times New Roman" w:cs="Times New Roman"/>
                <w:sz w:val="32"/>
                <w:szCs w:val="32"/>
              </w:rPr>
              <w:t xml:space="preserve">C. S. Nunes, D. A. Ferreira, L. Antunes, and P. Amorim, </w:t>
            </w:r>
          </w:p>
        </w:tc>
        <w:tc>
          <w:tcPr>
            <w:tcW w:w="2947" w:type="dxa"/>
          </w:tcPr>
          <w:p w:rsidR="000C407B" w:rsidRPr="0031787C" w:rsidRDefault="00265779" w:rsidP="00E53AA4">
            <w:pPr>
              <w:tabs>
                <w:tab w:val="left" w:pos="720"/>
              </w:tabs>
              <w:spacing w:after="100" w:line="360" w:lineRule="auto"/>
              <w:jc w:val="both"/>
              <w:rPr>
                <w:rFonts w:ascii="Times New Roman" w:hAnsi="Times New Roman" w:cs="Times New Roman"/>
                <w:sz w:val="32"/>
                <w:szCs w:val="32"/>
              </w:rPr>
            </w:pPr>
            <w:r w:rsidRPr="0031787C">
              <w:rPr>
                <w:rFonts w:ascii="Times New Roman" w:hAnsi="Times New Roman" w:cs="Times New Roman"/>
                <w:color w:val="2E2E2E"/>
                <w:sz w:val="32"/>
                <w:szCs w:val="32"/>
              </w:rPr>
              <w:t> The study results revealed there were comparable results on time to extubation, changes in intraoperative hemodynamic parameters, and the occurrence of postoperative complications between the groups. </w:t>
            </w:r>
          </w:p>
        </w:tc>
      </w:tr>
      <w:tr w:rsidR="000C407B" w:rsidTr="0031787C">
        <w:tc>
          <w:tcPr>
            <w:tcW w:w="3192" w:type="dxa"/>
          </w:tcPr>
          <w:p w:rsidR="000C407B" w:rsidRPr="0031787C" w:rsidRDefault="00265779" w:rsidP="00E53AA4">
            <w:pPr>
              <w:tabs>
                <w:tab w:val="left" w:pos="720"/>
              </w:tabs>
              <w:spacing w:after="100" w:line="360" w:lineRule="auto"/>
              <w:jc w:val="both"/>
              <w:rPr>
                <w:rFonts w:ascii="Times New Roman" w:hAnsi="Times New Roman" w:cs="Times New Roman"/>
                <w:sz w:val="32"/>
                <w:szCs w:val="32"/>
              </w:rPr>
            </w:pPr>
            <w:r w:rsidRPr="0031787C">
              <w:rPr>
                <w:rFonts w:ascii="Times New Roman" w:hAnsi="Times New Roman" w:cs="Times New Roman"/>
                <w:sz w:val="32"/>
                <w:szCs w:val="32"/>
              </w:rPr>
              <w:t>Recovery of cognitive function after remifentanil-propofol anesthesia: A comparison with desflurane and sevoflurane anesthesia</w:t>
            </w:r>
          </w:p>
        </w:tc>
        <w:tc>
          <w:tcPr>
            <w:tcW w:w="3437" w:type="dxa"/>
          </w:tcPr>
          <w:p w:rsidR="000C407B" w:rsidRPr="0031787C" w:rsidRDefault="00265779" w:rsidP="00265779">
            <w:pPr>
              <w:tabs>
                <w:tab w:val="left" w:pos="720"/>
              </w:tabs>
              <w:spacing w:after="100" w:line="360" w:lineRule="auto"/>
              <w:jc w:val="both"/>
              <w:rPr>
                <w:rFonts w:ascii="Times New Roman" w:hAnsi="Times New Roman" w:cs="Times New Roman"/>
                <w:sz w:val="32"/>
                <w:szCs w:val="32"/>
              </w:rPr>
            </w:pPr>
            <w:r w:rsidRPr="0031787C">
              <w:rPr>
                <w:rFonts w:ascii="Times New Roman" w:hAnsi="Times New Roman" w:cs="Times New Roman"/>
                <w:sz w:val="32"/>
                <w:szCs w:val="32"/>
              </w:rPr>
              <w:t xml:space="preserve">B. Larsen, A. Seitz, and R. Larsen, </w:t>
            </w:r>
          </w:p>
        </w:tc>
        <w:tc>
          <w:tcPr>
            <w:tcW w:w="2947" w:type="dxa"/>
          </w:tcPr>
          <w:p w:rsidR="000C407B" w:rsidRPr="0031787C" w:rsidRDefault="0031787C" w:rsidP="00E53AA4">
            <w:pPr>
              <w:tabs>
                <w:tab w:val="left" w:pos="720"/>
              </w:tabs>
              <w:spacing w:after="100" w:line="360" w:lineRule="auto"/>
              <w:jc w:val="both"/>
              <w:rPr>
                <w:rFonts w:ascii="Times New Roman" w:hAnsi="Times New Roman" w:cs="Times New Roman"/>
                <w:sz w:val="32"/>
                <w:szCs w:val="32"/>
              </w:rPr>
            </w:pPr>
            <w:r w:rsidRPr="0031787C">
              <w:rPr>
                <w:rFonts w:ascii="Times New Roman" w:hAnsi="Times New Roman" w:cs="Times New Roman"/>
                <w:color w:val="333333"/>
                <w:sz w:val="32"/>
                <w:szCs w:val="32"/>
                <w:shd w:val="clear" w:color="auto" w:fill="FFFFFF"/>
              </w:rPr>
              <w:t>Emergence and return of cognitive function was significantly faster after remifentanil-propofol compared with desflurane and sevoflurane up to 60 min after anesthesia administration</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3437B3" w:rsidRPr="003437B3" w:rsidRDefault="003437B3" w:rsidP="003437B3"/>
    <w:p w:rsidR="003437B3" w:rsidRDefault="003437B3" w:rsidP="003437B3">
      <w:pPr>
        <w:pStyle w:val="Heading6"/>
        <w:tabs>
          <w:tab w:val="left" w:pos="2160"/>
        </w:tabs>
        <w:spacing w:line="360" w:lineRule="auto"/>
        <w:jc w:val="center"/>
        <w:rPr>
          <w:rFonts w:asciiTheme="minorHAnsi" w:eastAsiaTheme="minorHAnsi" w:hAnsiTheme="minorHAnsi" w:cstheme="minorBidi"/>
          <w:i w:val="0"/>
          <w:iCs w:val="0"/>
          <w:color w:val="auto"/>
        </w:rPr>
      </w:pPr>
    </w:p>
    <w:p w:rsidR="003437B3" w:rsidRPr="003437B3" w:rsidRDefault="003437B3" w:rsidP="003437B3"/>
    <w:p w:rsidR="00305BF0" w:rsidRPr="00D81E16" w:rsidRDefault="00305BF0" w:rsidP="003437B3">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3437B3" w:rsidRDefault="00405E73" w:rsidP="00E53AA4">
      <w:pPr>
        <w:spacing w:after="0" w:line="360" w:lineRule="auto"/>
        <w:jc w:val="both"/>
        <w:rPr>
          <w:rFonts w:ascii="Times New Roman" w:hAnsi="Times New Roman" w:cs="Times New Roman"/>
          <w:b/>
          <w:sz w:val="40"/>
          <w:szCs w:val="40"/>
        </w:rPr>
      </w:pPr>
      <w:r w:rsidRPr="003437B3">
        <w:rPr>
          <w:rFonts w:ascii="Times New Roman" w:hAnsi="Times New Roman" w:cs="Times New Roman"/>
          <w:b/>
          <w:sz w:val="40"/>
          <w:szCs w:val="40"/>
        </w:rPr>
        <w:t>SYSTEM ARCHICTURE</w:t>
      </w:r>
    </w:p>
    <w:p w:rsidR="00D81E16" w:rsidRDefault="003437B3" w:rsidP="00E53AA4">
      <w:pPr>
        <w:spacing w:after="0" w:line="360" w:lineRule="auto"/>
        <w:jc w:val="both"/>
        <w:rPr>
          <w:rFonts w:ascii="Times New Roman" w:hAnsi="Times New Roman" w:cs="Times New Roman"/>
        </w:rPr>
      </w:pPr>
      <w:r w:rsidRPr="003437B3">
        <w:rPr>
          <w:rFonts w:ascii="Times New Roman" w:hAnsi="Times New Roman" w:cs="Times New Roman"/>
        </w:rPr>
        <w:drawing>
          <wp:inline distT="0" distB="0" distL="0" distR="0">
            <wp:extent cx="5940630" cy="4914900"/>
            <wp:effectExtent l="19050" t="0" r="2970" b="0"/>
            <wp:docPr id="3"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917357"/>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E73A3E" w:rsidRDefault="00D81E16" w:rsidP="003437B3">
      <w:pPr>
        <w:tabs>
          <w:tab w:val="left" w:pos="2805"/>
        </w:tabs>
        <w:jc w:val="both"/>
        <w:rPr>
          <w:rFonts w:ascii="Times New Roman" w:hAnsi="Times New Roman" w:cs="Times New Roman"/>
          <w:b/>
          <w:sz w:val="28"/>
          <w:szCs w:val="28"/>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A032E" w:rsidRPr="003A032E" w:rsidRDefault="003A032E" w:rsidP="003A032E">
      <w:pPr>
        <w:pStyle w:val="BodyText"/>
        <w:rPr>
          <w:bCs/>
          <w:iCs/>
          <w:sz w:val="32"/>
          <w:szCs w:val="32"/>
          <w:lang w:val="en-IN"/>
        </w:rPr>
      </w:pPr>
      <w:r w:rsidRPr="003A032E">
        <w:rPr>
          <w:bCs/>
          <w:iCs/>
          <w:sz w:val="32"/>
          <w:szCs w:val="32"/>
          <w:lang w:val="en-IN"/>
        </w:rPr>
        <w:t>To reduce POPI effects in anesthesia infusion, paracetamol analgesic is often also administered in combination. In order to personalize and optimize the effects of these difficult-todose drugs, TDM on-line systems able to measure the drug concentrations in patient’s plasma are highly required. In this work, a novel IoT drug monitoring system with electrochemical approach for the on-line continuous and simultaneous detection of propofol and paracetamol has been shown. The design of each block of the system has been described from a system level: (i) the custom-built RPi-based circuit to control and read out the signal from (ii) the electrochemical cell, which is integrated in (iii) a fluidic device that flux the target solution in the chamber where the electrodes are immersed. The presented IoT solution is based on a dedicated Android application for the anesthesiologist’s tablet or smart-phone to guarantee a rapid visualization of the patients’ measured parameters. Through the application, the medical doctor can be alerted in case of out-ofsafe-range parameter from a patient and can share and store the data on cloud to require teleconsulting.</w:t>
      </w:r>
      <w:r w:rsidRPr="003A032E">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A032E" w:rsidRDefault="003C0F6F" w:rsidP="00E53AA4">
      <w:pPr>
        <w:pStyle w:val="BodyText"/>
        <w:rPr>
          <w:b/>
          <w:iCs/>
          <w:sz w:val="28"/>
          <w:szCs w:val="28"/>
        </w:rPr>
      </w:pPr>
      <w:r>
        <w:rPr>
          <w:b/>
          <w:iCs/>
          <w:sz w:val="28"/>
          <w:szCs w:val="28"/>
        </w:rPr>
        <w:t xml:space="preserve">                </w:t>
      </w:r>
      <w:r w:rsidR="00491919">
        <w:rPr>
          <w:b/>
          <w:iCs/>
          <w:sz w:val="28"/>
          <w:szCs w:val="28"/>
        </w:rPr>
        <w:t xml:space="preserve">                           </w:t>
      </w:r>
      <w:r>
        <w:rPr>
          <w:b/>
          <w:iCs/>
          <w:sz w:val="28"/>
          <w:szCs w:val="28"/>
        </w:rPr>
        <w:t xml:space="preserve"> </w:t>
      </w:r>
    </w:p>
    <w:p w:rsidR="003A032E" w:rsidRDefault="003A032E" w:rsidP="00E53AA4">
      <w:pPr>
        <w:pStyle w:val="BodyText"/>
        <w:rPr>
          <w:b/>
          <w:iCs/>
          <w:sz w:val="28"/>
          <w:szCs w:val="28"/>
        </w:rPr>
      </w:pPr>
    </w:p>
    <w:p w:rsidR="003A032E" w:rsidRDefault="003A032E" w:rsidP="00E53AA4">
      <w:pPr>
        <w:pStyle w:val="BodyText"/>
        <w:rPr>
          <w:b/>
          <w:iCs/>
          <w:sz w:val="28"/>
          <w:szCs w:val="28"/>
        </w:rPr>
      </w:pPr>
    </w:p>
    <w:p w:rsidR="00370D47" w:rsidRPr="003C0F6F" w:rsidRDefault="00370D47" w:rsidP="003A032E">
      <w:pPr>
        <w:pStyle w:val="BodyText"/>
        <w:jc w:val="center"/>
        <w:rPr>
          <w:b/>
          <w:iCs/>
          <w:sz w:val="40"/>
          <w:szCs w:val="40"/>
        </w:rPr>
      </w:pPr>
      <w:r w:rsidRPr="003C0F6F">
        <w:rPr>
          <w:b/>
          <w:iCs/>
          <w:sz w:val="40"/>
          <w:szCs w:val="40"/>
        </w:rPr>
        <w:lastRenderedPageBreak/>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A032E" w:rsidRDefault="00A45266" w:rsidP="003A032E">
      <w:pPr>
        <w:pStyle w:val="BodyText"/>
        <w:numPr>
          <w:ilvl w:val="0"/>
          <w:numId w:val="46"/>
        </w:numPr>
        <w:rPr>
          <w:sz w:val="32"/>
          <w:szCs w:val="32"/>
          <w:lang w:val="en-IN"/>
        </w:rPr>
      </w:pPr>
      <w:r w:rsidRPr="003A032E">
        <w:rPr>
          <w:sz w:val="32"/>
          <w:szCs w:val="32"/>
          <w:lang w:val="en-IN"/>
        </w:rPr>
        <w:t>[1] G. Kotsovolis and G. Komninos, “Awareness during an</w:t>
      </w:r>
      <w:r w:rsidRPr="003A032E">
        <w:rPr>
          <w:sz w:val="32"/>
          <w:szCs w:val="32"/>
          <w:lang w:val="en-IN"/>
        </w:rPr>
        <w:t xml:space="preserve">esthesia: How sure can we be that the patient is sleeping indeed?,” Hippokratia, vol. 13, no. 2, pp. 83–89, 2009. </w:t>
      </w:r>
    </w:p>
    <w:p w:rsidR="00000000" w:rsidRPr="003A032E" w:rsidRDefault="00A45266" w:rsidP="003A032E">
      <w:pPr>
        <w:pStyle w:val="BodyText"/>
        <w:numPr>
          <w:ilvl w:val="0"/>
          <w:numId w:val="46"/>
        </w:numPr>
        <w:rPr>
          <w:sz w:val="32"/>
          <w:szCs w:val="32"/>
          <w:lang w:val="en-IN"/>
        </w:rPr>
      </w:pPr>
      <w:r w:rsidRPr="003A032E">
        <w:rPr>
          <w:sz w:val="32"/>
          <w:szCs w:val="32"/>
          <w:lang w:val="en-IN"/>
        </w:rPr>
        <w:t>[2] E. N. Brown, R. Lydic, and N. D. Schiff, “General anesthesia, sleep, and coma,” New England J. Med., vol. 363, no. 27, pp. 2638–2650, 20</w:t>
      </w:r>
      <w:r w:rsidRPr="003A032E">
        <w:rPr>
          <w:sz w:val="32"/>
          <w:szCs w:val="32"/>
          <w:lang w:val="en-IN"/>
        </w:rPr>
        <w:t xml:space="preserve">10. </w:t>
      </w:r>
    </w:p>
    <w:p w:rsidR="00000000" w:rsidRPr="003A032E" w:rsidRDefault="00A45266" w:rsidP="003A032E">
      <w:pPr>
        <w:pStyle w:val="BodyText"/>
        <w:numPr>
          <w:ilvl w:val="0"/>
          <w:numId w:val="46"/>
        </w:numPr>
        <w:rPr>
          <w:sz w:val="32"/>
          <w:szCs w:val="32"/>
          <w:lang w:val="en-IN"/>
        </w:rPr>
      </w:pPr>
      <w:r w:rsidRPr="003A032E">
        <w:rPr>
          <w:sz w:val="32"/>
          <w:szCs w:val="32"/>
          <w:lang w:val="en-IN"/>
        </w:rPr>
        <w:t>[3] C. S. Nunes, D. A. Ferreira, L. Antunes, and P. Amorim, “Clinical variables related to propofol effect-site concentrations at recovery of consciousness after neurosurgical procedures,” J. Neurosurg. Anesthesiol., vol. 17, no. 2, pp. 110–114, 2005</w:t>
      </w:r>
      <w:r w:rsidRPr="003A032E">
        <w:rPr>
          <w:sz w:val="32"/>
          <w:szCs w:val="32"/>
          <w:lang w:val="en-IN"/>
        </w:rPr>
        <w:t xml:space="preserve">. </w:t>
      </w:r>
    </w:p>
    <w:p w:rsidR="00000000" w:rsidRPr="003A032E" w:rsidRDefault="00A45266" w:rsidP="003A032E">
      <w:pPr>
        <w:pStyle w:val="BodyText"/>
        <w:numPr>
          <w:ilvl w:val="0"/>
          <w:numId w:val="46"/>
        </w:numPr>
        <w:rPr>
          <w:sz w:val="32"/>
          <w:szCs w:val="32"/>
          <w:lang w:val="en-IN"/>
        </w:rPr>
      </w:pPr>
      <w:r w:rsidRPr="003A032E">
        <w:rPr>
          <w:sz w:val="32"/>
          <w:szCs w:val="32"/>
          <w:lang w:val="en-IN"/>
        </w:rPr>
        <w:t xml:space="preserve">[4] B. Larsen, A. Seitz, and R. Larsen, “Recovery of cognitive function after remifentanil-propofol anesthesia: A comparison with desflurane and sevoflurane anesthesia,” Anesthesia Analgesia, vol. 90, no. 1, pp. 168–174, 2000. </w:t>
      </w:r>
    </w:p>
    <w:p w:rsidR="00000000" w:rsidRPr="003A032E" w:rsidRDefault="00A45266" w:rsidP="003A032E">
      <w:pPr>
        <w:pStyle w:val="BodyText"/>
        <w:numPr>
          <w:ilvl w:val="0"/>
          <w:numId w:val="46"/>
        </w:numPr>
        <w:rPr>
          <w:sz w:val="32"/>
          <w:szCs w:val="32"/>
          <w:lang w:val="en-IN"/>
        </w:rPr>
      </w:pPr>
      <w:r w:rsidRPr="003A032E">
        <w:rPr>
          <w:sz w:val="32"/>
          <w:szCs w:val="32"/>
          <w:lang w:val="en-IN"/>
        </w:rPr>
        <w:t xml:space="preserve">[5] V. Chidambaran, A. </w:t>
      </w:r>
      <w:r w:rsidRPr="003A032E">
        <w:rPr>
          <w:sz w:val="32"/>
          <w:szCs w:val="32"/>
          <w:lang w:val="en-IN"/>
        </w:rPr>
        <w:t>Costandi, and A. D’Mello, “Propofol: A review of its role in pediatric anesthesia and sedation,” CNS Drugs, vol. 29, no. 7, pp. 543–563, 2015.</w:t>
      </w:r>
      <w:r w:rsidRPr="003A032E">
        <w:rPr>
          <w:sz w:val="32"/>
          <w:szCs w:val="32"/>
        </w:rPr>
        <w:t xml:space="preserve"> </w:t>
      </w:r>
    </w:p>
    <w:p w:rsidR="00000000" w:rsidRPr="003A032E" w:rsidRDefault="00A45266" w:rsidP="003A032E">
      <w:pPr>
        <w:pStyle w:val="BodyText"/>
        <w:numPr>
          <w:ilvl w:val="0"/>
          <w:numId w:val="46"/>
        </w:numPr>
        <w:rPr>
          <w:sz w:val="32"/>
          <w:szCs w:val="32"/>
          <w:lang w:val="en-IN"/>
        </w:rPr>
      </w:pPr>
      <w:r w:rsidRPr="003A032E">
        <w:rPr>
          <w:sz w:val="32"/>
          <w:szCs w:val="32"/>
          <w:lang w:val="en-IN"/>
        </w:rPr>
        <w:t xml:space="preserve">[6] H. Borazan, T. B. Erdem, M. Kececioglu, and S. Otelcioglu, “Prevention of pain on injection of propofol: A </w:t>
      </w:r>
      <w:r w:rsidRPr="003A032E">
        <w:rPr>
          <w:sz w:val="32"/>
          <w:szCs w:val="32"/>
          <w:lang w:val="en-IN"/>
        </w:rPr>
        <w:t xml:space="preserve">comparison of lidocaine with different doses of paracetamol,” Eur. J. Anaesthesiol., vol. 27, no. 3, pp. 253–257, 2010. </w:t>
      </w:r>
    </w:p>
    <w:p w:rsidR="00000000" w:rsidRPr="003A032E" w:rsidRDefault="00A45266" w:rsidP="003A032E">
      <w:pPr>
        <w:pStyle w:val="BodyText"/>
        <w:numPr>
          <w:ilvl w:val="0"/>
          <w:numId w:val="46"/>
        </w:numPr>
        <w:rPr>
          <w:sz w:val="32"/>
          <w:szCs w:val="32"/>
          <w:lang w:val="en-IN"/>
        </w:rPr>
      </w:pPr>
      <w:r w:rsidRPr="003A032E">
        <w:rPr>
          <w:sz w:val="32"/>
          <w:szCs w:val="32"/>
          <w:lang w:val="en-IN"/>
        </w:rPr>
        <w:lastRenderedPageBreak/>
        <w:t xml:space="preserve">[7] K. A. Desousa, “Pain on propofol injection: Causes and remedies,” Indian J. Pharmacol., vol. 48, no. 6, p. 617–623, 2016. </w:t>
      </w:r>
    </w:p>
    <w:p w:rsidR="00000000" w:rsidRPr="003A032E" w:rsidRDefault="00A45266" w:rsidP="003A032E">
      <w:pPr>
        <w:pStyle w:val="BodyText"/>
        <w:numPr>
          <w:ilvl w:val="0"/>
          <w:numId w:val="46"/>
        </w:numPr>
        <w:rPr>
          <w:sz w:val="32"/>
          <w:szCs w:val="32"/>
          <w:lang w:val="en-IN"/>
        </w:rPr>
      </w:pPr>
      <w:r w:rsidRPr="003A032E">
        <w:rPr>
          <w:sz w:val="32"/>
          <w:szCs w:val="32"/>
          <w:lang w:val="en-IN"/>
        </w:rPr>
        <w:t>[8] L.</w:t>
      </w:r>
      <w:r w:rsidRPr="003A032E">
        <w:rPr>
          <w:sz w:val="32"/>
          <w:szCs w:val="32"/>
          <w:lang w:val="en-IN"/>
        </w:rPr>
        <w:t xml:space="preserve"> F. Prescott, “Paracetamol: Past, present, and future.” Amer. J. Therapeutics, vol. 7, no. 2, pp. 143–147, 2000. </w:t>
      </w:r>
    </w:p>
    <w:p w:rsidR="00000000" w:rsidRPr="003A032E" w:rsidRDefault="00A45266" w:rsidP="003A032E">
      <w:pPr>
        <w:pStyle w:val="BodyText"/>
        <w:numPr>
          <w:ilvl w:val="0"/>
          <w:numId w:val="46"/>
        </w:numPr>
        <w:rPr>
          <w:sz w:val="32"/>
          <w:szCs w:val="32"/>
          <w:lang w:val="en-IN"/>
        </w:rPr>
      </w:pPr>
      <w:r w:rsidRPr="003A032E">
        <w:rPr>
          <w:sz w:val="32"/>
          <w:szCs w:val="32"/>
          <w:lang w:val="en-IN"/>
        </w:rPr>
        <w:t>[9] Z. Al-Rifai and D. Mulvey, “Principles of total intravenous anaesthesia: Practical aspects of using total intravenous anaesthesia,” BJA E</w:t>
      </w:r>
      <w:r w:rsidRPr="003A032E">
        <w:rPr>
          <w:sz w:val="32"/>
          <w:szCs w:val="32"/>
          <w:lang w:val="en-IN"/>
        </w:rPr>
        <w:t xml:space="preserve">duc., vol. 16, no. 8, pp. 276–280, 2016. </w:t>
      </w:r>
    </w:p>
    <w:p w:rsidR="00000000" w:rsidRPr="003A032E" w:rsidRDefault="00A45266" w:rsidP="003A032E">
      <w:pPr>
        <w:pStyle w:val="BodyText"/>
        <w:numPr>
          <w:ilvl w:val="0"/>
          <w:numId w:val="46"/>
        </w:numPr>
        <w:rPr>
          <w:sz w:val="32"/>
          <w:szCs w:val="32"/>
          <w:lang w:val="en-IN"/>
        </w:rPr>
      </w:pPr>
      <w:r w:rsidRPr="003A032E">
        <w:rPr>
          <w:sz w:val="32"/>
          <w:szCs w:val="32"/>
          <w:lang w:val="en-IN"/>
        </w:rPr>
        <w:t xml:space="preserve">[10] S. L. Shafer and K. M. Gregg, “Algorithms to rapidly achieve and maintain stable drug concentrations at the site of drug effect with a computercontrolled infusion pump,” J. Pharmacokinet. Biopharm., vol. 20, </w:t>
      </w:r>
      <w:r w:rsidRPr="003A032E">
        <w:rPr>
          <w:sz w:val="32"/>
          <w:szCs w:val="32"/>
          <w:lang w:val="en-IN"/>
        </w:rPr>
        <w:t xml:space="preserve">no. 2, pp. 147–169, 1992.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5266" w:rsidRDefault="00A45266" w:rsidP="003654DF">
      <w:pPr>
        <w:spacing w:after="0" w:line="240" w:lineRule="auto"/>
      </w:pPr>
      <w:r>
        <w:separator/>
      </w:r>
    </w:p>
  </w:endnote>
  <w:endnote w:type="continuationSeparator" w:id="1">
    <w:p w:rsidR="00A45266" w:rsidRDefault="00A4526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5266" w:rsidRDefault="00A45266" w:rsidP="003654DF">
      <w:pPr>
        <w:spacing w:after="0" w:line="240" w:lineRule="auto"/>
      </w:pPr>
      <w:r>
        <w:separator/>
      </w:r>
    </w:p>
  </w:footnote>
  <w:footnote w:type="continuationSeparator" w:id="1">
    <w:p w:rsidR="00A45266" w:rsidRDefault="00A4526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03625">
        <w:pPr>
          <w:pStyle w:val="Header"/>
          <w:jc w:val="right"/>
        </w:pPr>
        <w:fldSimple w:instr=" PAGE   \* MERGEFORMAT ">
          <w:r w:rsidR="0031787C">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205CBE"/>
    <w:multiLevelType w:val="hybridMultilevel"/>
    <w:tmpl w:val="75FA6B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92C3CF4"/>
    <w:multiLevelType w:val="hybridMultilevel"/>
    <w:tmpl w:val="27622B46"/>
    <w:lvl w:ilvl="0" w:tplc="7F14885C">
      <w:start w:val="1"/>
      <w:numFmt w:val="bullet"/>
      <w:lvlText w:val=""/>
      <w:lvlJc w:val="left"/>
      <w:pPr>
        <w:tabs>
          <w:tab w:val="num" w:pos="720"/>
        </w:tabs>
        <w:ind w:left="720" w:hanging="360"/>
      </w:pPr>
      <w:rPr>
        <w:rFonts w:ascii="Wingdings 2" w:hAnsi="Wingdings 2" w:hint="default"/>
      </w:rPr>
    </w:lvl>
    <w:lvl w:ilvl="1" w:tplc="C058A886" w:tentative="1">
      <w:start w:val="1"/>
      <w:numFmt w:val="bullet"/>
      <w:lvlText w:val=""/>
      <w:lvlJc w:val="left"/>
      <w:pPr>
        <w:tabs>
          <w:tab w:val="num" w:pos="1440"/>
        </w:tabs>
        <w:ind w:left="1440" w:hanging="360"/>
      </w:pPr>
      <w:rPr>
        <w:rFonts w:ascii="Wingdings 2" w:hAnsi="Wingdings 2" w:hint="default"/>
      </w:rPr>
    </w:lvl>
    <w:lvl w:ilvl="2" w:tplc="9306D96A" w:tentative="1">
      <w:start w:val="1"/>
      <w:numFmt w:val="bullet"/>
      <w:lvlText w:val=""/>
      <w:lvlJc w:val="left"/>
      <w:pPr>
        <w:tabs>
          <w:tab w:val="num" w:pos="2160"/>
        </w:tabs>
        <w:ind w:left="2160" w:hanging="360"/>
      </w:pPr>
      <w:rPr>
        <w:rFonts w:ascii="Wingdings 2" w:hAnsi="Wingdings 2" w:hint="default"/>
      </w:rPr>
    </w:lvl>
    <w:lvl w:ilvl="3" w:tplc="65B8D50A" w:tentative="1">
      <w:start w:val="1"/>
      <w:numFmt w:val="bullet"/>
      <w:lvlText w:val=""/>
      <w:lvlJc w:val="left"/>
      <w:pPr>
        <w:tabs>
          <w:tab w:val="num" w:pos="2880"/>
        </w:tabs>
        <w:ind w:left="2880" w:hanging="360"/>
      </w:pPr>
      <w:rPr>
        <w:rFonts w:ascii="Wingdings 2" w:hAnsi="Wingdings 2" w:hint="default"/>
      </w:rPr>
    </w:lvl>
    <w:lvl w:ilvl="4" w:tplc="9264741A" w:tentative="1">
      <w:start w:val="1"/>
      <w:numFmt w:val="bullet"/>
      <w:lvlText w:val=""/>
      <w:lvlJc w:val="left"/>
      <w:pPr>
        <w:tabs>
          <w:tab w:val="num" w:pos="3600"/>
        </w:tabs>
        <w:ind w:left="3600" w:hanging="360"/>
      </w:pPr>
      <w:rPr>
        <w:rFonts w:ascii="Wingdings 2" w:hAnsi="Wingdings 2" w:hint="default"/>
      </w:rPr>
    </w:lvl>
    <w:lvl w:ilvl="5" w:tplc="8702F286" w:tentative="1">
      <w:start w:val="1"/>
      <w:numFmt w:val="bullet"/>
      <w:lvlText w:val=""/>
      <w:lvlJc w:val="left"/>
      <w:pPr>
        <w:tabs>
          <w:tab w:val="num" w:pos="4320"/>
        </w:tabs>
        <w:ind w:left="4320" w:hanging="360"/>
      </w:pPr>
      <w:rPr>
        <w:rFonts w:ascii="Wingdings 2" w:hAnsi="Wingdings 2" w:hint="default"/>
      </w:rPr>
    </w:lvl>
    <w:lvl w:ilvl="6" w:tplc="84D438A6" w:tentative="1">
      <w:start w:val="1"/>
      <w:numFmt w:val="bullet"/>
      <w:lvlText w:val=""/>
      <w:lvlJc w:val="left"/>
      <w:pPr>
        <w:tabs>
          <w:tab w:val="num" w:pos="5040"/>
        </w:tabs>
        <w:ind w:left="5040" w:hanging="360"/>
      </w:pPr>
      <w:rPr>
        <w:rFonts w:ascii="Wingdings 2" w:hAnsi="Wingdings 2" w:hint="default"/>
      </w:rPr>
    </w:lvl>
    <w:lvl w:ilvl="7" w:tplc="978C3B7A" w:tentative="1">
      <w:start w:val="1"/>
      <w:numFmt w:val="bullet"/>
      <w:lvlText w:val=""/>
      <w:lvlJc w:val="left"/>
      <w:pPr>
        <w:tabs>
          <w:tab w:val="num" w:pos="5760"/>
        </w:tabs>
        <w:ind w:left="5760" w:hanging="360"/>
      </w:pPr>
      <w:rPr>
        <w:rFonts w:ascii="Wingdings 2" w:hAnsi="Wingdings 2" w:hint="default"/>
      </w:rPr>
    </w:lvl>
    <w:lvl w:ilvl="8" w:tplc="40160ECA" w:tentative="1">
      <w:start w:val="1"/>
      <w:numFmt w:val="bullet"/>
      <w:lvlText w:val=""/>
      <w:lvlJc w:val="left"/>
      <w:pPr>
        <w:tabs>
          <w:tab w:val="num" w:pos="6480"/>
        </w:tabs>
        <w:ind w:left="6480" w:hanging="360"/>
      </w:pPr>
      <w:rPr>
        <w:rFonts w:ascii="Wingdings 2" w:hAnsi="Wingdings 2"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95E7919"/>
    <w:multiLevelType w:val="hybridMultilevel"/>
    <w:tmpl w:val="2D4AFE98"/>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1F4629"/>
    <w:multiLevelType w:val="hybridMultilevel"/>
    <w:tmpl w:val="B7523E62"/>
    <w:lvl w:ilvl="0" w:tplc="C3A4016C">
      <w:start w:val="1"/>
      <w:numFmt w:val="bullet"/>
      <w:lvlText w:val=""/>
      <w:lvlJc w:val="left"/>
      <w:pPr>
        <w:tabs>
          <w:tab w:val="num" w:pos="720"/>
        </w:tabs>
        <w:ind w:left="720" w:hanging="360"/>
      </w:pPr>
      <w:rPr>
        <w:rFonts w:ascii="Wingdings 2" w:hAnsi="Wingdings 2" w:hint="default"/>
      </w:rPr>
    </w:lvl>
    <w:lvl w:ilvl="1" w:tplc="FC8067D8" w:tentative="1">
      <w:start w:val="1"/>
      <w:numFmt w:val="bullet"/>
      <w:lvlText w:val=""/>
      <w:lvlJc w:val="left"/>
      <w:pPr>
        <w:tabs>
          <w:tab w:val="num" w:pos="1440"/>
        </w:tabs>
        <w:ind w:left="1440" w:hanging="360"/>
      </w:pPr>
      <w:rPr>
        <w:rFonts w:ascii="Wingdings 2" w:hAnsi="Wingdings 2" w:hint="default"/>
      </w:rPr>
    </w:lvl>
    <w:lvl w:ilvl="2" w:tplc="3AAAE552" w:tentative="1">
      <w:start w:val="1"/>
      <w:numFmt w:val="bullet"/>
      <w:lvlText w:val=""/>
      <w:lvlJc w:val="left"/>
      <w:pPr>
        <w:tabs>
          <w:tab w:val="num" w:pos="2160"/>
        </w:tabs>
        <w:ind w:left="2160" w:hanging="360"/>
      </w:pPr>
      <w:rPr>
        <w:rFonts w:ascii="Wingdings 2" w:hAnsi="Wingdings 2" w:hint="default"/>
      </w:rPr>
    </w:lvl>
    <w:lvl w:ilvl="3" w:tplc="2E70D13C" w:tentative="1">
      <w:start w:val="1"/>
      <w:numFmt w:val="bullet"/>
      <w:lvlText w:val=""/>
      <w:lvlJc w:val="left"/>
      <w:pPr>
        <w:tabs>
          <w:tab w:val="num" w:pos="2880"/>
        </w:tabs>
        <w:ind w:left="2880" w:hanging="360"/>
      </w:pPr>
      <w:rPr>
        <w:rFonts w:ascii="Wingdings 2" w:hAnsi="Wingdings 2" w:hint="default"/>
      </w:rPr>
    </w:lvl>
    <w:lvl w:ilvl="4" w:tplc="7F24EF92" w:tentative="1">
      <w:start w:val="1"/>
      <w:numFmt w:val="bullet"/>
      <w:lvlText w:val=""/>
      <w:lvlJc w:val="left"/>
      <w:pPr>
        <w:tabs>
          <w:tab w:val="num" w:pos="3600"/>
        </w:tabs>
        <w:ind w:left="3600" w:hanging="360"/>
      </w:pPr>
      <w:rPr>
        <w:rFonts w:ascii="Wingdings 2" w:hAnsi="Wingdings 2" w:hint="default"/>
      </w:rPr>
    </w:lvl>
    <w:lvl w:ilvl="5" w:tplc="32A8B2A8" w:tentative="1">
      <w:start w:val="1"/>
      <w:numFmt w:val="bullet"/>
      <w:lvlText w:val=""/>
      <w:lvlJc w:val="left"/>
      <w:pPr>
        <w:tabs>
          <w:tab w:val="num" w:pos="4320"/>
        </w:tabs>
        <w:ind w:left="4320" w:hanging="360"/>
      </w:pPr>
      <w:rPr>
        <w:rFonts w:ascii="Wingdings 2" w:hAnsi="Wingdings 2" w:hint="default"/>
      </w:rPr>
    </w:lvl>
    <w:lvl w:ilvl="6" w:tplc="5668574A" w:tentative="1">
      <w:start w:val="1"/>
      <w:numFmt w:val="bullet"/>
      <w:lvlText w:val=""/>
      <w:lvlJc w:val="left"/>
      <w:pPr>
        <w:tabs>
          <w:tab w:val="num" w:pos="5040"/>
        </w:tabs>
        <w:ind w:left="5040" w:hanging="360"/>
      </w:pPr>
      <w:rPr>
        <w:rFonts w:ascii="Wingdings 2" w:hAnsi="Wingdings 2" w:hint="default"/>
      </w:rPr>
    </w:lvl>
    <w:lvl w:ilvl="7" w:tplc="05A276F0" w:tentative="1">
      <w:start w:val="1"/>
      <w:numFmt w:val="bullet"/>
      <w:lvlText w:val=""/>
      <w:lvlJc w:val="left"/>
      <w:pPr>
        <w:tabs>
          <w:tab w:val="num" w:pos="5760"/>
        </w:tabs>
        <w:ind w:left="5760" w:hanging="360"/>
      </w:pPr>
      <w:rPr>
        <w:rFonts w:ascii="Wingdings 2" w:hAnsi="Wingdings 2" w:hint="default"/>
      </w:rPr>
    </w:lvl>
    <w:lvl w:ilvl="8" w:tplc="51604FFC"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D34FCB"/>
    <w:multiLevelType w:val="hybridMultilevel"/>
    <w:tmpl w:val="CA8CEC7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530DC7"/>
    <w:multiLevelType w:val="hybridMultilevel"/>
    <w:tmpl w:val="8AA2F0A6"/>
    <w:lvl w:ilvl="0" w:tplc="D4F207F8">
      <w:start w:val="1"/>
      <w:numFmt w:val="bullet"/>
      <w:lvlText w:val=""/>
      <w:lvlJc w:val="left"/>
      <w:pPr>
        <w:tabs>
          <w:tab w:val="num" w:pos="720"/>
        </w:tabs>
        <w:ind w:left="720" w:hanging="360"/>
      </w:pPr>
      <w:rPr>
        <w:rFonts w:ascii="Wingdings 2" w:hAnsi="Wingdings 2" w:hint="default"/>
      </w:rPr>
    </w:lvl>
    <w:lvl w:ilvl="1" w:tplc="360271BA" w:tentative="1">
      <w:start w:val="1"/>
      <w:numFmt w:val="bullet"/>
      <w:lvlText w:val=""/>
      <w:lvlJc w:val="left"/>
      <w:pPr>
        <w:tabs>
          <w:tab w:val="num" w:pos="1440"/>
        </w:tabs>
        <w:ind w:left="1440" w:hanging="360"/>
      </w:pPr>
      <w:rPr>
        <w:rFonts w:ascii="Wingdings 2" w:hAnsi="Wingdings 2" w:hint="default"/>
      </w:rPr>
    </w:lvl>
    <w:lvl w:ilvl="2" w:tplc="7236E8F8" w:tentative="1">
      <w:start w:val="1"/>
      <w:numFmt w:val="bullet"/>
      <w:lvlText w:val=""/>
      <w:lvlJc w:val="left"/>
      <w:pPr>
        <w:tabs>
          <w:tab w:val="num" w:pos="2160"/>
        </w:tabs>
        <w:ind w:left="2160" w:hanging="360"/>
      </w:pPr>
      <w:rPr>
        <w:rFonts w:ascii="Wingdings 2" w:hAnsi="Wingdings 2" w:hint="default"/>
      </w:rPr>
    </w:lvl>
    <w:lvl w:ilvl="3" w:tplc="09BE4060" w:tentative="1">
      <w:start w:val="1"/>
      <w:numFmt w:val="bullet"/>
      <w:lvlText w:val=""/>
      <w:lvlJc w:val="left"/>
      <w:pPr>
        <w:tabs>
          <w:tab w:val="num" w:pos="2880"/>
        </w:tabs>
        <w:ind w:left="2880" w:hanging="360"/>
      </w:pPr>
      <w:rPr>
        <w:rFonts w:ascii="Wingdings 2" w:hAnsi="Wingdings 2" w:hint="default"/>
      </w:rPr>
    </w:lvl>
    <w:lvl w:ilvl="4" w:tplc="2550B212" w:tentative="1">
      <w:start w:val="1"/>
      <w:numFmt w:val="bullet"/>
      <w:lvlText w:val=""/>
      <w:lvlJc w:val="left"/>
      <w:pPr>
        <w:tabs>
          <w:tab w:val="num" w:pos="3600"/>
        </w:tabs>
        <w:ind w:left="3600" w:hanging="360"/>
      </w:pPr>
      <w:rPr>
        <w:rFonts w:ascii="Wingdings 2" w:hAnsi="Wingdings 2" w:hint="default"/>
      </w:rPr>
    </w:lvl>
    <w:lvl w:ilvl="5" w:tplc="F0987852" w:tentative="1">
      <w:start w:val="1"/>
      <w:numFmt w:val="bullet"/>
      <w:lvlText w:val=""/>
      <w:lvlJc w:val="left"/>
      <w:pPr>
        <w:tabs>
          <w:tab w:val="num" w:pos="4320"/>
        </w:tabs>
        <w:ind w:left="4320" w:hanging="360"/>
      </w:pPr>
      <w:rPr>
        <w:rFonts w:ascii="Wingdings 2" w:hAnsi="Wingdings 2" w:hint="default"/>
      </w:rPr>
    </w:lvl>
    <w:lvl w:ilvl="6" w:tplc="3CCA7F54" w:tentative="1">
      <w:start w:val="1"/>
      <w:numFmt w:val="bullet"/>
      <w:lvlText w:val=""/>
      <w:lvlJc w:val="left"/>
      <w:pPr>
        <w:tabs>
          <w:tab w:val="num" w:pos="5040"/>
        </w:tabs>
        <w:ind w:left="5040" w:hanging="360"/>
      </w:pPr>
      <w:rPr>
        <w:rFonts w:ascii="Wingdings 2" w:hAnsi="Wingdings 2" w:hint="default"/>
      </w:rPr>
    </w:lvl>
    <w:lvl w:ilvl="7" w:tplc="61349F46" w:tentative="1">
      <w:start w:val="1"/>
      <w:numFmt w:val="bullet"/>
      <w:lvlText w:val=""/>
      <w:lvlJc w:val="left"/>
      <w:pPr>
        <w:tabs>
          <w:tab w:val="num" w:pos="5760"/>
        </w:tabs>
        <w:ind w:left="5760" w:hanging="360"/>
      </w:pPr>
      <w:rPr>
        <w:rFonts w:ascii="Wingdings 2" w:hAnsi="Wingdings 2" w:hint="default"/>
      </w:rPr>
    </w:lvl>
    <w:lvl w:ilvl="8" w:tplc="BDC254AE"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0"/>
  </w:num>
  <w:num w:numId="12">
    <w:abstractNumId w:val="33"/>
  </w:num>
  <w:num w:numId="13">
    <w:abstractNumId w:val="41"/>
  </w:num>
  <w:num w:numId="14">
    <w:abstractNumId w:val="45"/>
  </w:num>
  <w:num w:numId="15">
    <w:abstractNumId w:val="35"/>
  </w:num>
  <w:num w:numId="16">
    <w:abstractNumId w:val="32"/>
  </w:num>
  <w:num w:numId="17">
    <w:abstractNumId w:val="8"/>
  </w:num>
  <w:num w:numId="18">
    <w:abstractNumId w:val="34"/>
  </w:num>
  <w:num w:numId="19">
    <w:abstractNumId w:val="25"/>
  </w:num>
  <w:num w:numId="20">
    <w:abstractNumId w:val="6"/>
  </w:num>
  <w:num w:numId="21">
    <w:abstractNumId w:val="46"/>
  </w:num>
  <w:num w:numId="22">
    <w:abstractNumId w:val="19"/>
  </w:num>
  <w:num w:numId="23">
    <w:abstractNumId w:val="42"/>
  </w:num>
  <w:num w:numId="24">
    <w:abstractNumId w:val="44"/>
  </w:num>
  <w:num w:numId="25">
    <w:abstractNumId w:val="30"/>
  </w:num>
  <w:num w:numId="26">
    <w:abstractNumId w:val="18"/>
  </w:num>
  <w:num w:numId="27">
    <w:abstractNumId w:val="3"/>
  </w:num>
  <w:num w:numId="28">
    <w:abstractNumId w:val="11"/>
  </w:num>
  <w:num w:numId="29">
    <w:abstractNumId w:val="31"/>
  </w:num>
  <w:num w:numId="30">
    <w:abstractNumId w:val="39"/>
  </w:num>
  <w:num w:numId="31">
    <w:abstractNumId w:val="28"/>
  </w:num>
  <w:num w:numId="32">
    <w:abstractNumId w:val="2"/>
  </w:num>
  <w:num w:numId="33">
    <w:abstractNumId w:val="27"/>
  </w:num>
  <w:num w:numId="34">
    <w:abstractNumId w:val="22"/>
  </w:num>
  <w:num w:numId="35">
    <w:abstractNumId w:val="15"/>
  </w:num>
  <w:num w:numId="36">
    <w:abstractNumId w:val="12"/>
  </w:num>
  <w:num w:numId="37">
    <w:abstractNumId w:val="9"/>
  </w:num>
  <w:num w:numId="38">
    <w:abstractNumId w:val="37"/>
  </w:num>
  <w:num w:numId="39">
    <w:abstractNumId w:val="17"/>
  </w:num>
  <w:num w:numId="40">
    <w:abstractNumId w:val="13"/>
  </w:num>
  <w:num w:numId="41">
    <w:abstractNumId w:val="24"/>
  </w:num>
  <w:num w:numId="42">
    <w:abstractNumId w:val="43"/>
  </w:num>
  <w:num w:numId="43">
    <w:abstractNumId w:val="23"/>
  </w:num>
  <w:num w:numId="44">
    <w:abstractNumId w:val="38"/>
  </w:num>
  <w:num w:numId="45">
    <w:abstractNumId w:val="7"/>
  </w:num>
  <w:num w:numId="46">
    <w:abstractNumId w:val="14"/>
  </w:num>
  <w:num w:numId="47">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5779"/>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87C"/>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37B3"/>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32E"/>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3625"/>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2036"/>
    <w:rsid w:val="00A4352E"/>
    <w:rsid w:val="00A43CDE"/>
    <w:rsid w:val="00A44C6A"/>
    <w:rsid w:val="00A45266"/>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4B0"/>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26E4"/>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6252367">
      <w:bodyDiv w:val="1"/>
      <w:marLeft w:val="0"/>
      <w:marRight w:val="0"/>
      <w:marTop w:val="0"/>
      <w:marBottom w:val="0"/>
      <w:divBdr>
        <w:top w:val="none" w:sz="0" w:space="0" w:color="auto"/>
        <w:left w:val="none" w:sz="0" w:space="0" w:color="auto"/>
        <w:bottom w:val="none" w:sz="0" w:space="0" w:color="auto"/>
        <w:right w:val="none" w:sz="0" w:space="0" w:color="auto"/>
      </w:divBdr>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0982227">
      <w:bodyDiv w:val="1"/>
      <w:marLeft w:val="0"/>
      <w:marRight w:val="0"/>
      <w:marTop w:val="0"/>
      <w:marBottom w:val="0"/>
      <w:divBdr>
        <w:top w:val="none" w:sz="0" w:space="0" w:color="auto"/>
        <w:left w:val="none" w:sz="0" w:space="0" w:color="auto"/>
        <w:bottom w:val="none" w:sz="0" w:space="0" w:color="auto"/>
        <w:right w:val="none" w:sz="0" w:space="0" w:color="auto"/>
      </w:divBdr>
      <w:divsChild>
        <w:div w:id="110907038">
          <w:marLeft w:val="576"/>
          <w:marRight w:val="0"/>
          <w:marTop w:val="120"/>
          <w:marBottom w:val="0"/>
          <w:divBdr>
            <w:top w:val="none" w:sz="0" w:space="0" w:color="auto"/>
            <w:left w:val="none" w:sz="0" w:space="0" w:color="auto"/>
            <w:bottom w:val="none" w:sz="0" w:space="0" w:color="auto"/>
            <w:right w:val="none" w:sz="0" w:space="0" w:color="auto"/>
          </w:divBdr>
        </w:div>
        <w:div w:id="462500311">
          <w:marLeft w:val="576"/>
          <w:marRight w:val="0"/>
          <w:marTop w:val="120"/>
          <w:marBottom w:val="0"/>
          <w:divBdr>
            <w:top w:val="none" w:sz="0" w:space="0" w:color="auto"/>
            <w:left w:val="none" w:sz="0" w:space="0" w:color="auto"/>
            <w:bottom w:val="none" w:sz="0" w:space="0" w:color="auto"/>
            <w:right w:val="none" w:sz="0" w:space="0" w:color="auto"/>
          </w:divBdr>
        </w:div>
        <w:div w:id="254675256">
          <w:marLeft w:val="576"/>
          <w:marRight w:val="0"/>
          <w:marTop w:val="120"/>
          <w:marBottom w:val="0"/>
          <w:divBdr>
            <w:top w:val="none" w:sz="0" w:space="0" w:color="auto"/>
            <w:left w:val="none" w:sz="0" w:space="0" w:color="auto"/>
            <w:bottom w:val="none" w:sz="0" w:space="0" w:color="auto"/>
            <w:right w:val="none" w:sz="0" w:space="0" w:color="auto"/>
          </w:divBdr>
        </w:div>
        <w:div w:id="682904544">
          <w:marLeft w:val="576"/>
          <w:marRight w:val="0"/>
          <w:marTop w:val="120"/>
          <w:marBottom w:val="0"/>
          <w:divBdr>
            <w:top w:val="none" w:sz="0" w:space="0" w:color="auto"/>
            <w:left w:val="none" w:sz="0" w:space="0" w:color="auto"/>
            <w:bottom w:val="none" w:sz="0" w:space="0" w:color="auto"/>
            <w:right w:val="none" w:sz="0" w:space="0" w:color="auto"/>
          </w:divBdr>
        </w:div>
        <w:div w:id="2001495912">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46372535">
      <w:bodyDiv w:val="1"/>
      <w:marLeft w:val="0"/>
      <w:marRight w:val="0"/>
      <w:marTop w:val="0"/>
      <w:marBottom w:val="0"/>
      <w:divBdr>
        <w:top w:val="none" w:sz="0" w:space="0" w:color="auto"/>
        <w:left w:val="none" w:sz="0" w:space="0" w:color="auto"/>
        <w:bottom w:val="none" w:sz="0" w:space="0" w:color="auto"/>
        <w:right w:val="none" w:sz="0" w:space="0" w:color="auto"/>
      </w:divBdr>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7012826">
      <w:bodyDiv w:val="1"/>
      <w:marLeft w:val="0"/>
      <w:marRight w:val="0"/>
      <w:marTop w:val="0"/>
      <w:marBottom w:val="0"/>
      <w:divBdr>
        <w:top w:val="none" w:sz="0" w:space="0" w:color="auto"/>
        <w:left w:val="none" w:sz="0" w:space="0" w:color="auto"/>
        <w:bottom w:val="none" w:sz="0" w:space="0" w:color="auto"/>
        <w:right w:val="none" w:sz="0" w:space="0" w:color="auto"/>
      </w:divBdr>
      <w:divsChild>
        <w:div w:id="1283338536">
          <w:marLeft w:val="576"/>
          <w:marRight w:val="0"/>
          <w:marTop w:val="120"/>
          <w:marBottom w:val="0"/>
          <w:divBdr>
            <w:top w:val="none" w:sz="0" w:space="0" w:color="auto"/>
            <w:left w:val="none" w:sz="0" w:space="0" w:color="auto"/>
            <w:bottom w:val="none" w:sz="0" w:space="0" w:color="auto"/>
            <w:right w:val="none" w:sz="0" w:space="0" w:color="auto"/>
          </w:divBdr>
        </w:div>
        <w:div w:id="1537697188">
          <w:marLeft w:val="576"/>
          <w:marRight w:val="0"/>
          <w:marTop w:val="120"/>
          <w:marBottom w:val="0"/>
          <w:divBdr>
            <w:top w:val="none" w:sz="0" w:space="0" w:color="auto"/>
            <w:left w:val="none" w:sz="0" w:space="0" w:color="auto"/>
            <w:bottom w:val="none" w:sz="0" w:space="0" w:color="auto"/>
            <w:right w:val="none" w:sz="0" w:space="0" w:color="auto"/>
          </w:divBdr>
        </w:div>
        <w:div w:id="204945507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5604775">
      <w:bodyDiv w:val="1"/>
      <w:marLeft w:val="0"/>
      <w:marRight w:val="0"/>
      <w:marTop w:val="0"/>
      <w:marBottom w:val="0"/>
      <w:divBdr>
        <w:top w:val="none" w:sz="0" w:space="0" w:color="auto"/>
        <w:left w:val="none" w:sz="0" w:space="0" w:color="auto"/>
        <w:bottom w:val="none" w:sz="0" w:space="0" w:color="auto"/>
        <w:right w:val="none" w:sz="0" w:space="0" w:color="auto"/>
      </w:divBdr>
      <w:divsChild>
        <w:div w:id="641547532">
          <w:marLeft w:val="576"/>
          <w:marRight w:val="0"/>
          <w:marTop w:val="120"/>
          <w:marBottom w:val="0"/>
          <w:divBdr>
            <w:top w:val="none" w:sz="0" w:space="0" w:color="auto"/>
            <w:left w:val="none" w:sz="0" w:space="0" w:color="auto"/>
            <w:bottom w:val="none" w:sz="0" w:space="0" w:color="auto"/>
            <w:right w:val="none" w:sz="0" w:space="0" w:color="auto"/>
          </w:divBdr>
        </w:div>
        <w:div w:id="243802659">
          <w:marLeft w:val="576"/>
          <w:marRight w:val="0"/>
          <w:marTop w:val="120"/>
          <w:marBottom w:val="0"/>
          <w:divBdr>
            <w:top w:val="none" w:sz="0" w:space="0" w:color="auto"/>
            <w:left w:val="none" w:sz="0" w:space="0" w:color="auto"/>
            <w:bottom w:val="none" w:sz="0" w:space="0" w:color="auto"/>
            <w:right w:val="none" w:sz="0" w:space="0" w:color="auto"/>
          </w:divBdr>
        </w:div>
        <w:div w:id="859583156">
          <w:marLeft w:val="576"/>
          <w:marRight w:val="0"/>
          <w:marTop w:val="120"/>
          <w:marBottom w:val="0"/>
          <w:divBdr>
            <w:top w:val="none" w:sz="0" w:space="0" w:color="auto"/>
            <w:left w:val="none" w:sz="0" w:space="0" w:color="auto"/>
            <w:bottom w:val="none" w:sz="0" w:space="0" w:color="auto"/>
            <w:right w:val="none" w:sz="0" w:space="0" w:color="auto"/>
          </w:divBdr>
        </w:div>
        <w:div w:id="1127966449">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3830323">
      <w:bodyDiv w:val="1"/>
      <w:marLeft w:val="0"/>
      <w:marRight w:val="0"/>
      <w:marTop w:val="0"/>
      <w:marBottom w:val="0"/>
      <w:divBdr>
        <w:top w:val="none" w:sz="0" w:space="0" w:color="auto"/>
        <w:left w:val="none" w:sz="0" w:space="0" w:color="auto"/>
        <w:bottom w:val="none" w:sz="0" w:space="0" w:color="auto"/>
        <w:right w:val="none" w:sz="0" w:space="0" w:color="auto"/>
      </w:divBdr>
      <w:divsChild>
        <w:div w:id="1546062614">
          <w:marLeft w:val="576"/>
          <w:marRight w:val="0"/>
          <w:marTop w:val="120"/>
          <w:marBottom w:val="0"/>
          <w:divBdr>
            <w:top w:val="none" w:sz="0" w:space="0" w:color="auto"/>
            <w:left w:val="none" w:sz="0" w:space="0" w:color="auto"/>
            <w:bottom w:val="none" w:sz="0" w:space="0" w:color="auto"/>
            <w:right w:val="none" w:sz="0" w:space="0" w:color="auto"/>
          </w:divBdr>
        </w:div>
        <w:div w:id="1257326309">
          <w:marLeft w:val="576"/>
          <w:marRight w:val="0"/>
          <w:marTop w:val="120"/>
          <w:marBottom w:val="0"/>
          <w:divBdr>
            <w:top w:val="none" w:sz="0" w:space="0" w:color="auto"/>
            <w:left w:val="none" w:sz="0" w:space="0" w:color="auto"/>
            <w:bottom w:val="none" w:sz="0" w:space="0" w:color="auto"/>
            <w:right w:val="none" w:sz="0" w:space="0" w:color="auto"/>
          </w:divBdr>
        </w:div>
        <w:div w:id="1803889776">
          <w:marLeft w:val="576"/>
          <w:marRight w:val="0"/>
          <w:marTop w:val="120"/>
          <w:marBottom w:val="0"/>
          <w:divBdr>
            <w:top w:val="none" w:sz="0" w:space="0" w:color="auto"/>
            <w:left w:val="none" w:sz="0" w:space="0" w:color="auto"/>
            <w:bottom w:val="none" w:sz="0" w:space="0" w:color="auto"/>
            <w:right w:val="none" w:sz="0" w:space="0" w:color="auto"/>
          </w:divBdr>
        </w:div>
        <w:div w:id="1669283977">
          <w:marLeft w:val="576"/>
          <w:marRight w:val="0"/>
          <w:marTop w:val="120"/>
          <w:marBottom w:val="0"/>
          <w:divBdr>
            <w:top w:val="none" w:sz="0" w:space="0" w:color="auto"/>
            <w:left w:val="none" w:sz="0" w:space="0" w:color="auto"/>
            <w:bottom w:val="none" w:sz="0" w:space="0" w:color="auto"/>
            <w:right w:val="none" w:sz="0" w:space="0" w:color="auto"/>
          </w:divBdr>
        </w:div>
        <w:div w:id="1484196143">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38892558">
      <w:bodyDiv w:val="1"/>
      <w:marLeft w:val="0"/>
      <w:marRight w:val="0"/>
      <w:marTop w:val="0"/>
      <w:marBottom w:val="0"/>
      <w:divBdr>
        <w:top w:val="none" w:sz="0" w:space="0" w:color="auto"/>
        <w:left w:val="none" w:sz="0" w:space="0" w:color="auto"/>
        <w:bottom w:val="none" w:sz="0" w:space="0" w:color="auto"/>
        <w:right w:val="none" w:sz="0" w:space="0" w:color="auto"/>
      </w:divBdr>
      <w:divsChild>
        <w:div w:id="208153368">
          <w:marLeft w:val="576"/>
          <w:marRight w:val="0"/>
          <w:marTop w:val="120"/>
          <w:marBottom w:val="0"/>
          <w:divBdr>
            <w:top w:val="none" w:sz="0" w:space="0" w:color="auto"/>
            <w:left w:val="none" w:sz="0" w:space="0" w:color="auto"/>
            <w:bottom w:val="none" w:sz="0" w:space="0" w:color="auto"/>
            <w:right w:val="none" w:sz="0" w:space="0" w:color="auto"/>
          </w:divBdr>
        </w:div>
        <w:div w:id="1055664331">
          <w:marLeft w:val="576"/>
          <w:marRight w:val="0"/>
          <w:marTop w:val="120"/>
          <w:marBottom w:val="0"/>
          <w:divBdr>
            <w:top w:val="none" w:sz="0" w:space="0" w:color="auto"/>
            <w:left w:val="none" w:sz="0" w:space="0" w:color="auto"/>
            <w:bottom w:val="none" w:sz="0" w:space="0" w:color="auto"/>
            <w:right w:val="none" w:sz="0" w:space="0" w:color="auto"/>
          </w:divBdr>
        </w:div>
        <w:div w:id="2077168112">
          <w:marLeft w:val="576"/>
          <w:marRight w:val="0"/>
          <w:marTop w:val="120"/>
          <w:marBottom w:val="0"/>
          <w:divBdr>
            <w:top w:val="none" w:sz="0" w:space="0" w:color="auto"/>
            <w:left w:val="none" w:sz="0" w:space="0" w:color="auto"/>
            <w:bottom w:val="none" w:sz="0" w:space="0" w:color="auto"/>
            <w:right w:val="none" w:sz="0" w:space="0" w:color="auto"/>
          </w:divBdr>
        </w:div>
        <w:div w:id="691418586">
          <w:marLeft w:val="576"/>
          <w:marRight w:val="0"/>
          <w:marTop w:val="120"/>
          <w:marBottom w:val="0"/>
          <w:divBdr>
            <w:top w:val="none" w:sz="0" w:space="0" w:color="auto"/>
            <w:left w:val="none" w:sz="0" w:space="0" w:color="auto"/>
            <w:bottom w:val="none" w:sz="0" w:space="0" w:color="auto"/>
            <w:right w:val="none" w:sz="0" w:space="0" w:color="auto"/>
          </w:divBdr>
        </w:div>
      </w:divsChild>
    </w:div>
    <w:div w:id="2039311605">
      <w:bodyDiv w:val="1"/>
      <w:marLeft w:val="0"/>
      <w:marRight w:val="0"/>
      <w:marTop w:val="0"/>
      <w:marBottom w:val="0"/>
      <w:divBdr>
        <w:top w:val="none" w:sz="0" w:space="0" w:color="auto"/>
        <w:left w:val="none" w:sz="0" w:space="0" w:color="auto"/>
        <w:bottom w:val="none" w:sz="0" w:space="0" w:color="auto"/>
        <w:right w:val="none" w:sz="0" w:space="0" w:color="auto"/>
      </w:divBdr>
      <w:divsChild>
        <w:div w:id="1152480742">
          <w:marLeft w:val="576"/>
          <w:marRight w:val="0"/>
          <w:marTop w:val="120"/>
          <w:marBottom w:val="0"/>
          <w:divBdr>
            <w:top w:val="none" w:sz="0" w:space="0" w:color="auto"/>
            <w:left w:val="none" w:sz="0" w:space="0" w:color="auto"/>
            <w:bottom w:val="none" w:sz="0" w:space="0" w:color="auto"/>
            <w:right w:val="none" w:sz="0" w:space="0" w:color="auto"/>
          </w:divBdr>
        </w:div>
        <w:div w:id="520045926">
          <w:marLeft w:val="576"/>
          <w:marRight w:val="0"/>
          <w:marTop w:val="120"/>
          <w:marBottom w:val="0"/>
          <w:divBdr>
            <w:top w:val="none" w:sz="0" w:space="0" w:color="auto"/>
            <w:left w:val="none" w:sz="0" w:space="0" w:color="auto"/>
            <w:bottom w:val="none" w:sz="0" w:space="0" w:color="auto"/>
            <w:right w:val="none" w:sz="0" w:space="0" w:color="auto"/>
          </w:divBdr>
        </w:div>
        <w:div w:id="1880124950">
          <w:marLeft w:val="576"/>
          <w:marRight w:val="0"/>
          <w:marTop w:val="12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3581819">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3588</TotalTime>
  <Pages>15</Pages>
  <Words>1872</Words>
  <Characters>10672</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877</cp:revision>
  <dcterms:created xsi:type="dcterms:W3CDTF">2021-01-06T11:34:00Z</dcterms:created>
  <dcterms:modified xsi:type="dcterms:W3CDTF">2021-05-08T15:31:00Z</dcterms:modified>
</cp:coreProperties>
</file>